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47" w:rsidRDefault="00237D6E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47" w:rsidRDefault="0014014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40147" w:rsidRDefault="00237D6E">
      <w:pPr>
        <w:pStyle w:val="afa"/>
        <w:spacing w:after="0"/>
        <w:rPr>
          <w:b/>
        </w:rPr>
      </w:pPr>
      <w:r>
        <w:rPr>
          <w:b/>
        </w:rPr>
        <w:t xml:space="preserve">Администрация Ордынского района </w:t>
      </w:r>
    </w:p>
    <w:p w:rsidR="00140147" w:rsidRDefault="00237D6E">
      <w:pPr>
        <w:pStyle w:val="afa"/>
        <w:spacing w:after="0"/>
        <w:rPr>
          <w:b/>
        </w:rPr>
      </w:pPr>
      <w:r>
        <w:rPr>
          <w:b/>
          <w:szCs w:val="28"/>
        </w:rPr>
        <w:t>НОВОСИБИРСКОЙ ОБЛАСТИ</w:t>
      </w:r>
    </w:p>
    <w:p w:rsidR="00140147" w:rsidRDefault="00140147">
      <w:pPr>
        <w:pStyle w:val="afa"/>
        <w:spacing w:after="0"/>
      </w:pPr>
    </w:p>
    <w:p w:rsidR="00140147" w:rsidRDefault="00237D6E">
      <w:pPr>
        <w:pStyle w:val="afa"/>
        <w:spacing w:after="0"/>
        <w:rPr>
          <w:b/>
          <w:bCs/>
          <w:caps w:val="0"/>
          <w:szCs w:val="28"/>
        </w:rPr>
      </w:pPr>
      <w:r>
        <w:rPr>
          <w:b/>
          <w:bCs/>
          <w:caps w:val="0"/>
          <w:szCs w:val="28"/>
        </w:rPr>
        <w:t>ПОСТАНОВЛЕНИЕ</w:t>
      </w:r>
    </w:p>
    <w:p w:rsidR="00140147" w:rsidRDefault="00853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4C0EC62" wp14:editId="08393BC7">
            <wp:simplePos x="0" y="0"/>
            <wp:positionH relativeFrom="character">
              <wp:posOffset>2268855</wp:posOffset>
            </wp:positionH>
            <wp:positionV relativeFrom="line">
              <wp:posOffset>157480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147" w:rsidRDefault="00237D6E">
      <w:pPr>
        <w:suppressAutoHyphens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color w:val="DDD9C3"/>
          <w:sz w:val="24"/>
          <w:szCs w:val="24"/>
        </w:rPr>
        <w:t>_</w:t>
      </w:r>
      <w:r>
        <w:rPr>
          <w:rFonts w:ascii="Times New Roman" w:hAnsi="Times New Roman"/>
          <w:color w:val="DDD9C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DDD9C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DDD9C3"/>
          <w:sz w:val="24"/>
          <w:szCs w:val="24"/>
        </w:rPr>
        <w:t>_</w:t>
      </w:r>
      <w:proofErr w:type="gramEnd"/>
    </w:p>
    <w:p w:rsidR="00140147" w:rsidRDefault="00237D6E">
      <w:pPr>
        <w:ind w:left="3540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</w:t>
      </w:r>
      <w:proofErr w:type="spellStart"/>
      <w:r>
        <w:rPr>
          <w:rFonts w:ascii="Times New Roman" w:hAnsi="Times New Roman"/>
          <w:sz w:val="28"/>
          <w:szCs w:val="27"/>
        </w:rPr>
        <w:t>р.п</w:t>
      </w:r>
      <w:proofErr w:type="spellEnd"/>
      <w:r>
        <w:rPr>
          <w:rFonts w:ascii="Times New Roman" w:hAnsi="Times New Roman"/>
          <w:sz w:val="28"/>
          <w:szCs w:val="27"/>
        </w:rPr>
        <w:t>. Ордынское</w:t>
      </w:r>
    </w:p>
    <w:p w:rsidR="00140147" w:rsidRDefault="00237D6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Ордынского района Новосибирской области от 10.01.2024 № 3/89</w:t>
      </w:r>
    </w:p>
    <w:p w:rsidR="00140147" w:rsidRDefault="0014014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0147" w:rsidRPr="00853D76" w:rsidRDefault="00237D6E">
      <w:pPr>
        <w:spacing w:after="0" w:line="240" w:lineRule="auto"/>
        <w:ind w:left="23" w:right="23" w:firstLine="700"/>
        <w:jc w:val="both"/>
        <w:rPr>
          <w:rStyle w:val="3pt"/>
          <w:sz w:val="28"/>
          <w:szCs w:val="28"/>
        </w:rPr>
      </w:pPr>
      <w:r w:rsidRPr="00853D76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Pr="00853D76">
        <w:rPr>
          <w:rFonts w:ascii="Times New Roman" w:hAnsi="Times New Roman"/>
          <w:sz w:val="28"/>
          <w:szCs w:val="28"/>
        </w:rPr>
        <w:t>администрации Ордынского района Новосибирской области 24.12.2020 № 1209 «Об утверждении Положения о формировании муниципального задания на оказание муниципальных услуг (выполнение работ) в отношении бюджетных и автономных муниципальных учреждений Ордынског</w:t>
      </w:r>
      <w:r w:rsidRPr="00853D76">
        <w:rPr>
          <w:rFonts w:ascii="Times New Roman" w:hAnsi="Times New Roman"/>
          <w:sz w:val="28"/>
          <w:szCs w:val="28"/>
        </w:rPr>
        <w:t>о района Новосибирской области и финансового обеспечения выполнения муниципального задания» Ордынского района Новосибирской области, руководствуясь Уставом Ордынского муниципального района Новосибирской области, администрация Ордынского района Новосибирско</w:t>
      </w:r>
      <w:r w:rsidRPr="00853D76">
        <w:rPr>
          <w:rFonts w:ascii="Times New Roman" w:hAnsi="Times New Roman"/>
          <w:sz w:val="28"/>
          <w:szCs w:val="28"/>
        </w:rPr>
        <w:t>й области</w:t>
      </w:r>
      <w:r w:rsidRPr="00853D76">
        <w:rPr>
          <w:rStyle w:val="3pt"/>
          <w:sz w:val="28"/>
          <w:szCs w:val="28"/>
        </w:rPr>
        <w:t xml:space="preserve"> постановляет:</w:t>
      </w:r>
    </w:p>
    <w:p w:rsidR="00140147" w:rsidRPr="00853D76" w:rsidRDefault="00237D6E">
      <w:pPr>
        <w:spacing w:after="0" w:line="240" w:lineRule="auto"/>
        <w:ind w:left="23" w:right="23" w:firstLine="700"/>
        <w:jc w:val="both"/>
        <w:rPr>
          <w:rFonts w:ascii="Times New Roman" w:hAnsi="Times New Roman"/>
          <w:sz w:val="28"/>
          <w:szCs w:val="28"/>
        </w:rPr>
      </w:pPr>
      <w:r w:rsidRPr="00853D76">
        <w:rPr>
          <w:rFonts w:ascii="Times New Roman" w:hAnsi="Times New Roman"/>
          <w:sz w:val="28"/>
          <w:szCs w:val="28"/>
        </w:rPr>
        <w:t xml:space="preserve">1. Внести в постановление администрации Ордынского района Новосибирской области от 10.01.2024 № 3/89 «Об утверждении значений базовых нормативов затрат, корректирующих коэффициентов, нормативных затрат на единицу объема услуги </w:t>
      </w:r>
      <w:r w:rsidRPr="00853D76">
        <w:rPr>
          <w:rFonts w:ascii="Times New Roman" w:hAnsi="Times New Roman"/>
          <w:sz w:val="28"/>
          <w:szCs w:val="28"/>
        </w:rPr>
        <w:t>(работы) на оказание муниципальных услуг Муниципальным бюджетным учреждением дополнительного образования Ордынского района Новосибирской области «Ордынская детская школа искусств» (далее-Постановление) следующие изменения:</w:t>
      </w:r>
    </w:p>
    <w:p w:rsidR="00140147" w:rsidRPr="00853D76" w:rsidRDefault="00237D6E">
      <w:pPr>
        <w:spacing w:after="0" w:line="240" w:lineRule="auto"/>
        <w:ind w:left="23" w:right="23" w:firstLine="540"/>
        <w:jc w:val="both"/>
        <w:rPr>
          <w:rFonts w:ascii="Times New Roman" w:hAnsi="Times New Roman"/>
          <w:sz w:val="28"/>
          <w:szCs w:val="28"/>
        </w:rPr>
      </w:pPr>
      <w:r w:rsidRPr="00853D76">
        <w:rPr>
          <w:rFonts w:ascii="Times New Roman" w:hAnsi="Times New Roman"/>
          <w:sz w:val="28"/>
          <w:szCs w:val="28"/>
        </w:rPr>
        <w:t>1.1. Приложение №1 к Постановлени</w:t>
      </w:r>
      <w:r w:rsidRPr="00853D76">
        <w:rPr>
          <w:rFonts w:ascii="Times New Roman" w:hAnsi="Times New Roman"/>
          <w:sz w:val="28"/>
          <w:szCs w:val="28"/>
        </w:rPr>
        <w:t>ю «Значения базовых нормативов затрат, корректирующих коэффициентов, нормативные затраты на единицу объема услуги (работы) на оказание муниципальных услуг по реализации дополнительных общеразвивающих программ и выполнения работ по Муниципальному бюджетному</w:t>
      </w:r>
      <w:r w:rsidRPr="00853D76">
        <w:rPr>
          <w:rFonts w:ascii="Times New Roman" w:hAnsi="Times New Roman"/>
          <w:sz w:val="28"/>
          <w:szCs w:val="28"/>
        </w:rPr>
        <w:t xml:space="preserve"> учреждению дополнительного образования Ордынского района Новосибирской области «Ордынская детская школа искусств»» изложить в редакции согласно приложению № 1 к настоящему постановлению;</w:t>
      </w:r>
    </w:p>
    <w:p w:rsidR="00140147" w:rsidRPr="00853D76" w:rsidRDefault="00237D6E">
      <w:pPr>
        <w:spacing w:after="0" w:line="240" w:lineRule="auto"/>
        <w:ind w:left="23" w:right="23" w:firstLine="540"/>
        <w:jc w:val="both"/>
        <w:rPr>
          <w:rFonts w:ascii="Times New Roman" w:hAnsi="Times New Roman"/>
          <w:sz w:val="28"/>
          <w:szCs w:val="28"/>
        </w:rPr>
      </w:pPr>
      <w:r w:rsidRPr="00853D76">
        <w:rPr>
          <w:rFonts w:ascii="Times New Roman" w:hAnsi="Times New Roman"/>
          <w:sz w:val="28"/>
          <w:szCs w:val="28"/>
        </w:rPr>
        <w:t>1.2. Приложение №2 к Постановлению «Значения базовых нормативов затр</w:t>
      </w:r>
      <w:r w:rsidRPr="00853D76">
        <w:rPr>
          <w:rFonts w:ascii="Times New Roman" w:hAnsi="Times New Roman"/>
          <w:sz w:val="28"/>
          <w:szCs w:val="28"/>
        </w:rPr>
        <w:t>ат, корректирующих коэффициентов, нормативные затраты на единицу объема услуги (работы) на оказание муниципальных услуг по реализации дополнительных предпрофессиональных программ в области искусства и выполнения работ по Муниципальному бюджетному учреждени</w:t>
      </w:r>
      <w:r w:rsidRPr="00853D76">
        <w:rPr>
          <w:rFonts w:ascii="Times New Roman" w:hAnsi="Times New Roman"/>
          <w:sz w:val="28"/>
          <w:szCs w:val="28"/>
        </w:rPr>
        <w:t xml:space="preserve">ю дополнительного образования Ордынского района Новосибирской области «Ордынская детская школа </w:t>
      </w:r>
      <w:r w:rsidRPr="00853D76">
        <w:rPr>
          <w:rFonts w:ascii="Times New Roman" w:hAnsi="Times New Roman"/>
          <w:sz w:val="28"/>
          <w:szCs w:val="28"/>
        </w:rPr>
        <w:lastRenderedPageBreak/>
        <w:t>искусств»» изложить в редакции согласно приложению № 2 к настоящему постановлению.</w:t>
      </w:r>
    </w:p>
    <w:p w:rsidR="00140147" w:rsidRPr="00853D76" w:rsidRDefault="00237D6E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460"/>
        <w:jc w:val="both"/>
        <w:rPr>
          <w:rStyle w:val="12pt"/>
          <w:sz w:val="28"/>
          <w:szCs w:val="28"/>
        </w:rPr>
      </w:pPr>
      <w:r w:rsidRPr="00853D76">
        <w:rPr>
          <w:rFonts w:ascii="Times New Roman" w:hAnsi="Times New Roman"/>
          <w:sz w:val="28"/>
          <w:szCs w:val="28"/>
        </w:rPr>
        <w:t>Действие постановления распространяется на правоотношения, возникшие с 24.06</w:t>
      </w:r>
      <w:r w:rsidRPr="00853D76">
        <w:rPr>
          <w:rStyle w:val="12pt"/>
          <w:sz w:val="28"/>
          <w:szCs w:val="28"/>
        </w:rPr>
        <w:t>.2</w:t>
      </w:r>
      <w:r w:rsidRPr="00853D76">
        <w:rPr>
          <w:rStyle w:val="12pt"/>
          <w:sz w:val="28"/>
          <w:szCs w:val="28"/>
        </w:rPr>
        <w:t>024 года.</w:t>
      </w:r>
    </w:p>
    <w:p w:rsidR="00140147" w:rsidRPr="00853D76" w:rsidRDefault="00237D6E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853D76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140147" w:rsidRPr="00853D76" w:rsidRDefault="00237D6E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53D76">
        <w:rPr>
          <w:rFonts w:ascii="Times New Roman" w:hAnsi="Times New Roman"/>
          <w:sz w:val="28"/>
          <w:szCs w:val="28"/>
        </w:rPr>
        <w:t>Контроль</w:t>
      </w:r>
      <w:r w:rsidRPr="00853D76">
        <w:rPr>
          <w:rFonts w:ascii="Times New Roman" w:hAnsi="Times New Roman"/>
          <w:sz w:val="28"/>
          <w:szCs w:val="28"/>
        </w:rPr>
        <w:tab/>
        <w:t>за исполнением постановления возложить на заместителя главы администрации</w:t>
      </w:r>
      <w:r w:rsidRPr="00853D76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 Стрельникову О.В.</w:t>
      </w:r>
    </w:p>
    <w:p w:rsidR="00140147" w:rsidRPr="00853D76" w:rsidRDefault="0014014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147" w:rsidRDefault="0014014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140147" w:rsidRDefault="00140147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140147" w:rsidRDefault="00237D6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Глава Ордынского района</w:t>
      </w:r>
    </w:p>
    <w:p w:rsidR="00140147" w:rsidRDefault="00237D6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Новосибирской области           </w:t>
      </w:r>
      <w:r w:rsidR="00853D76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О.А. Орёл</w:t>
      </w: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0147" w:rsidRDefault="00237D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Я.М. </w:t>
      </w:r>
      <w:proofErr w:type="spellStart"/>
      <w:r>
        <w:rPr>
          <w:rFonts w:ascii="Times New Roman" w:hAnsi="Times New Roman"/>
          <w:sz w:val="20"/>
          <w:szCs w:val="20"/>
        </w:rPr>
        <w:t>Белянова</w:t>
      </w:r>
      <w:proofErr w:type="spellEnd"/>
    </w:p>
    <w:p w:rsidR="00140147" w:rsidRDefault="00237D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(38359)21-893</w:t>
      </w: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147" w:rsidRDefault="00140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147" w:rsidRDefault="0014014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140147" w:rsidRDefault="00140147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zh-CN"/>
        </w:rPr>
      </w:pPr>
    </w:p>
    <w:p w:rsidR="00140147" w:rsidRDefault="00140147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zh-CN"/>
        </w:rPr>
      </w:pPr>
    </w:p>
    <w:p w:rsidR="00140147" w:rsidRDefault="00237D6E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ПРИЛОЖЕНИЕ № 1</w:t>
      </w:r>
    </w:p>
    <w:p w:rsidR="00140147" w:rsidRDefault="00237D6E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>УТВЕРЖДЕНЫ</w:t>
      </w:r>
    </w:p>
    <w:p w:rsidR="00140147" w:rsidRDefault="00237D6E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постановлением администрации</w:t>
      </w:r>
    </w:p>
    <w:p w:rsidR="00140147" w:rsidRDefault="00237D6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Ордынского района</w:t>
      </w:r>
    </w:p>
    <w:p w:rsidR="00140147" w:rsidRDefault="00237D6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Новосибирской области</w:t>
      </w:r>
    </w:p>
    <w:p w:rsidR="00140147" w:rsidRDefault="00853D7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C4842BE" wp14:editId="3B3536D6">
            <wp:simplePos x="0" y="0"/>
            <wp:positionH relativeFrom="page">
              <wp:align>right</wp:align>
            </wp:positionH>
            <wp:positionV relativeFrom="line">
              <wp:posOffset>66675</wp:posOffset>
            </wp:positionV>
            <wp:extent cx="2893695" cy="252095"/>
            <wp:effectExtent l="0" t="0" r="1905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D6E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</w:t>
      </w:r>
      <w:r w:rsidR="00237D6E">
        <w:rPr>
          <w:rFonts w:ascii="Times New Roman" w:hAnsi="Times New Roman"/>
          <w:sz w:val="28"/>
          <w:szCs w:val="28"/>
        </w:rPr>
        <w:t>от</w:t>
      </w:r>
      <w:r w:rsidR="00237D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7D6E">
        <w:rPr>
          <w:rFonts w:ascii="Times New Roman" w:hAnsi="Times New Roman"/>
          <w:color w:val="DDD9C3"/>
          <w:sz w:val="24"/>
          <w:szCs w:val="24"/>
        </w:rPr>
        <w:t>_</w:t>
      </w:r>
      <w:r w:rsidR="00237D6E">
        <w:rPr>
          <w:rFonts w:ascii="Times New Roman" w:hAnsi="Times New Roman"/>
          <w:color w:val="DDD9C3"/>
          <w:sz w:val="24"/>
          <w:szCs w:val="24"/>
          <w:u w:val="single"/>
        </w:rPr>
        <w:t>[</w:t>
      </w:r>
      <w:proofErr w:type="gramEnd"/>
      <w:r w:rsidR="00237D6E">
        <w:rPr>
          <w:rFonts w:ascii="Times New Roman" w:hAnsi="Times New Roman"/>
          <w:color w:val="DDD9C3"/>
          <w:sz w:val="24"/>
          <w:szCs w:val="24"/>
          <w:u w:val="single"/>
        </w:rPr>
        <w:t>МЕСТО ДЛЯ ШТАМПА]</w:t>
      </w:r>
      <w:r w:rsidR="00237D6E">
        <w:rPr>
          <w:rFonts w:ascii="Times New Roman" w:hAnsi="Times New Roman"/>
          <w:color w:val="DDD9C3"/>
          <w:sz w:val="24"/>
          <w:szCs w:val="24"/>
        </w:rPr>
        <w:t>_</w:t>
      </w:r>
    </w:p>
    <w:p w:rsidR="00140147" w:rsidRDefault="00140147">
      <w:pPr>
        <w:spacing w:after="0" w:line="240" w:lineRule="auto"/>
        <w:ind w:left="4956" w:firstLine="708"/>
        <w:rPr>
          <w:rFonts w:ascii="Times New Roman" w:hAnsi="Times New Roman"/>
          <w:color w:val="DDD9C3"/>
          <w:sz w:val="24"/>
          <w:szCs w:val="24"/>
        </w:rPr>
      </w:pPr>
    </w:p>
    <w:p w:rsidR="00140147" w:rsidRDefault="00237D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Значения базовых нормативов </w:t>
      </w:r>
    </w:p>
    <w:p w:rsidR="00140147" w:rsidRDefault="00237D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затрат, корректирующих коэффициентов, нормативные затраты на единицу объема услуги (работы) на оказание муниципальных услуг по реализации дополнительных общеразвивающих программ и выполнения работ </w:t>
      </w:r>
    </w:p>
    <w:p w:rsidR="00140147" w:rsidRDefault="00237D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 МБУДО «Ордынская детская школа искусств»</w:t>
      </w:r>
    </w:p>
    <w:p w:rsidR="00140147" w:rsidRDefault="0014014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120"/>
        <w:tblW w:w="9776" w:type="dxa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426"/>
        <w:gridCol w:w="2438"/>
      </w:tblGrid>
      <w:tr w:rsidR="00140147">
        <w:trPr>
          <w:trHeight w:val="187"/>
        </w:trPr>
        <w:tc>
          <w:tcPr>
            <w:tcW w:w="6911" w:type="dxa"/>
            <w:gridSpan w:val="2"/>
            <w:vMerge w:val="restart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Составляющие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базовых нормативов затрат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ind w:right="289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Значения базовых нормативов затрат, руб.</w:t>
            </w:r>
          </w:p>
        </w:tc>
      </w:tr>
      <w:tr w:rsidR="00140147">
        <w:trPr>
          <w:trHeight w:val="390"/>
        </w:trPr>
        <w:tc>
          <w:tcPr>
            <w:tcW w:w="6911" w:type="dxa"/>
            <w:gridSpan w:val="2"/>
            <w:vMerge/>
          </w:tcPr>
          <w:p w:rsidR="00140147" w:rsidRDefault="00140147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Художественная направленность</w:t>
            </w:r>
          </w:p>
        </w:tc>
      </w:tr>
      <w:tr w:rsidR="00140147">
        <w:trPr>
          <w:trHeight w:val="2688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10 128 479,88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40147">
        <w:trPr>
          <w:trHeight w:val="375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Затраты на содержание имущества (в том числе зат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раты на арендные платежи)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2 013 419,03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40147">
        <w:trPr>
          <w:trHeight w:val="375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135 046,40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40147">
        <w:trPr>
          <w:trHeight w:val="187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Затраты на приобретение средств обучения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</w:t>
            </w:r>
          </w:p>
        </w:tc>
      </w:tr>
      <w:tr w:rsidR="00140147">
        <w:trPr>
          <w:trHeight w:val="187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ЗНАЧЕНИЯ БАЗОВЫХ НОРМАТИВОВ ЗАТРАТ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12 276 945,31</w:t>
            </w:r>
          </w:p>
        </w:tc>
      </w:tr>
      <w:tr w:rsidR="00140147">
        <w:trPr>
          <w:trHeight w:val="187"/>
        </w:trPr>
        <w:tc>
          <w:tcPr>
            <w:tcW w:w="9775" w:type="dxa"/>
            <w:gridSpan w:val="4"/>
          </w:tcPr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40147">
        <w:trPr>
          <w:trHeight w:val="187"/>
        </w:trPr>
        <w:tc>
          <w:tcPr>
            <w:tcW w:w="9775" w:type="dxa"/>
            <w:gridSpan w:val="4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Значения корректирующих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коэффициентов</w:t>
            </w:r>
          </w:p>
        </w:tc>
      </w:tr>
      <w:tr w:rsidR="00140147">
        <w:trPr>
          <w:trHeight w:val="345"/>
        </w:trPr>
        <w:tc>
          <w:tcPr>
            <w:tcW w:w="4643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Корректирующие коэффициенты</w:t>
            </w:r>
          </w:p>
        </w:tc>
        <w:tc>
          <w:tcPr>
            <w:tcW w:w="5132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Художественная направленность</w:t>
            </w:r>
          </w:p>
        </w:tc>
      </w:tr>
      <w:tr w:rsidR="00140147">
        <w:trPr>
          <w:trHeight w:val="187"/>
        </w:trPr>
        <w:tc>
          <w:tcPr>
            <w:tcW w:w="4643" w:type="dxa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Отраслевой корректирующий коэффициент</w:t>
            </w:r>
          </w:p>
        </w:tc>
        <w:tc>
          <w:tcPr>
            <w:tcW w:w="5132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</w:t>
            </w:r>
          </w:p>
        </w:tc>
      </w:tr>
      <w:tr w:rsidR="00140147">
        <w:trPr>
          <w:trHeight w:val="375"/>
        </w:trPr>
        <w:tc>
          <w:tcPr>
            <w:tcW w:w="4643" w:type="dxa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Территориальный корректирующий коэффициент</w:t>
            </w:r>
          </w:p>
        </w:tc>
        <w:tc>
          <w:tcPr>
            <w:tcW w:w="5132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</w:t>
            </w:r>
          </w:p>
        </w:tc>
      </w:tr>
      <w:tr w:rsidR="00140147">
        <w:trPr>
          <w:trHeight w:val="405"/>
        </w:trPr>
        <w:tc>
          <w:tcPr>
            <w:tcW w:w="9775" w:type="dxa"/>
            <w:gridSpan w:val="4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Нормативные затраты на единицу объема услуг</w:t>
            </w:r>
          </w:p>
        </w:tc>
      </w:tr>
      <w:tr w:rsidR="00140147">
        <w:trPr>
          <w:trHeight w:val="760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Составляющие нормативных затрат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Художественная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направленность, руб.</w:t>
            </w:r>
          </w:p>
        </w:tc>
      </w:tr>
      <w:tr w:rsidR="00140147">
        <w:trPr>
          <w:trHeight w:val="3048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48,04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40147">
        <w:trPr>
          <w:trHeight w:val="390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0,64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40147">
        <w:trPr>
          <w:trHeight w:val="187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Затраты на приобретение средств обучения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</w:t>
            </w:r>
          </w:p>
        </w:tc>
      </w:tr>
      <w:tr w:rsidR="00140147">
        <w:trPr>
          <w:trHeight w:val="375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Затраты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на содержание имущества (в том числе затраты на арендные платежи)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9,55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40147">
        <w:trPr>
          <w:trHeight w:val="770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ИТОГО НОРМАТИВНЫЕ ЗАТРАТЫ НА ЕДИНИЦУ          ОБЪЕМА УСЛУГИ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58,23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140147" w:rsidRDefault="0014014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140147" w:rsidRDefault="00140147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0147" w:rsidRDefault="00140147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0147" w:rsidRDefault="00140147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0147" w:rsidRDefault="00237D6E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 ПРИЛОЖЕНИЕ № 2</w:t>
      </w:r>
    </w:p>
    <w:p w:rsidR="00140147" w:rsidRDefault="00237D6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УТВЕРЖДЕНЫ</w:t>
      </w:r>
    </w:p>
    <w:p w:rsidR="00140147" w:rsidRDefault="00237D6E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постановлением администрации</w:t>
      </w:r>
    </w:p>
    <w:p w:rsidR="00140147" w:rsidRDefault="00237D6E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Ордынского района</w:t>
      </w:r>
    </w:p>
    <w:p w:rsidR="00140147" w:rsidRDefault="00237D6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Новосибирской области</w:t>
      </w:r>
    </w:p>
    <w:p w:rsidR="00140147" w:rsidRDefault="00853D76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7925BDB6" wp14:editId="37EBF983">
            <wp:simplePos x="0" y="0"/>
            <wp:positionH relativeFrom="character">
              <wp:posOffset>-7620</wp:posOffset>
            </wp:positionH>
            <wp:positionV relativeFrom="paragraph">
              <wp:posOffset>47625</wp:posOffset>
            </wp:positionV>
            <wp:extent cx="2893695" cy="252095"/>
            <wp:effectExtent l="0" t="0" r="1905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D6E">
        <w:rPr>
          <w:rFonts w:ascii="Times New Roman" w:hAnsi="Times New Roman"/>
          <w:sz w:val="28"/>
          <w:szCs w:val="28"/>
        </w:rPr>
        <w:t>от</w:t>
      </w:r>
      <w:r w:rsidR="00237D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7D6E">
        <w:rPr>
          <w:rFonts w:ascii="Times New Roman" w:hAnsi="Times New Roman"/>
          <w:color w:val="DDD9C3"/>
          <w:sz w:val="24"/>
          <w:szCs w:val="24"/>
        </w:rPr>
        <w:t>_</w:t>
      </w:r>
      <w:r w:rsidR="00237D6E">
        <w:rPr>
          <w:rFonts w:ascii="Times New Roman" w:hAnsi="Times New Roman"/>
          <w:color w:val="DDD9C3"/>
          <w:sz w:val="24"/>
          <w:szCs w:val="24"/>
          <w:u w:val="single"/>
        </w:rPr>
        <w:t>[</w:t>
      </w:r>
      <w:proofErr w:type="gramEnd"/>
      <w:r w:rsidR="00237D6E">
        <w:rPr>
          <w:rFonts w:ascii="Times New Roman" w:hAnsi="Times New Roman"/>
          <w:color w:val="DDD9C3"/>
          <w:sz w:val="24"/>
          <w:szCs w:val="24"/>
          <w:u w:val="single"/>
        </w:rPr>
        <w:t>МЕСТО ДЛЯ ШТАМПА]</w:t>
      </w:r>
      <w:r w:rsidR="00237D6E">
        <w:rPr>
          <w:rFonts w:ascii="Times New Roman" w:hAnsi="Times New Roman"/>
          <w:color w:val="DDD9C3"/>
          <w:sz w:val="24"/>
          <w:szCs w:val="24"/>
        </w:rPr>
        <w:t>_</w:t>
      </w:r>
    </w:p>
    <w:p w:rsidR="00140147" w:rsidRDefault="0014014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140147" w:rsidRDefault="00237D6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Значения базовых нормативов </w:t>
      </w:r>
    </w:p>
    <w:p w:rsidR="00140147" w:rsidRDefault="00237D6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затрат, корректирующих коэффициентов, нормативные затраты на единицу объема услуги (рабо</w:t>
      </w:r>
      <w:r>
        <w:rPr>
          <w:rFonts w:ascii="Times New Roman" w:hAnsi="Times New Roman"/>
          <w:sz w:val="27"/>
          <w:szCs w:val="27"/>
          <w:lang w:eastAsia="zh-CN"/>
        </w:rPr>
        <w:t xml:space="preserve">ты) на оказание муниципальных услуг по реализации дополнительных предпрофессиональных программ в области искусства и выполнения работ </w:t>
      </w:r>
    </w:p>
    <w:p w:rsidR="00140147" w:rsidRDefault="00237D6E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по МБУДО «Ордынская детская школа искусств»</w:t>
      </w:r>
    </w:p>
    <w:p w:rsidR="00140147" w:rsidRDefault="00140147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tbl>
      <w:tblPr>
        <w:tblStyle w:val="220"/>
        <w:tblW w:w="9776" w:type="dxa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426"/>
        <w:gridCol w:w="2438"/>
      </w:tblGrid>
      <w:tr w:rsidR="00140147">
        <w:trPr>
          <w:trHeight w:val="187"/>
        </w:trPr>
        <w:tc>
          <w:tcPr>
            <w:tcW w:w="6911" w:type="dxa"/>
            <w:gridSpan w:val="2"/>
            <w:vMerge w:val="restart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Составляющие базовых нормативов затрат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Значения базовых нормативов затрат, р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уб.</w:t>
            </w:r>
          </w:p>
        </w:tc>
      </w:tr>
      <w:tr w:rsidR="00140147">
        <w:trPr>
          <w:trHeight w:val="390"/>
        </w:trPr>
        <w:tc>
          <w:tcPr>
            <w:tcW w:w="6911" w:type="dxa"/>
            <w:gridSpan w:val="2"/>
            <w:vMerge/>
          </w:tcPr>
          <w:p w:rsidR="00140147" w:rsidRDefault="00140147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Художественная направленность</w:t>
            </w:r>
          </w:p>
        </w:tc>
      </w:tr>
      <w:tr w:rsidR="00140147">
        <w:trPr>
          <w:trHeight w:val="2688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19 899 592,92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140147">
        <w:trPr>
          <w:trHeight w:val="375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3 955 797,87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140147">
        <w:trPr>
          <w:trHeight w:val="375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Затраты на 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повышение квалификации и прохождение периодических медосмотров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265 327,91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140147">
        <w:trPr>
          <w:trHeight w:val="187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Затраты на приобретение средств обучения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0</w:t>
            </w:r>
          </w:p>
        </w:tc>
      </w:tr>
      <w:tr w:rsidR="00140147">
        <w:trPr>
          <w:trHeight w:val="187"/>
        </w:trPr>
        <w:tc>
          <w:tcPr>
            <w:tcW w:w="6911" w:type="dxa"/>
            <w:gridSpan w:val="2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ЗНАЧЕНИЯ БАЗОВЫХ НОРМАТИВОВ ЗАТРАТ</w:t>
            </w:r>
          </w:p>
        </w:tc>
        <w:tc>
          <w:tcPr>
            <w:tcW w:w="2864" w:type="dxa"/>
            <w:gridSpan w:val="2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24 120 718,69</w:t>
            </w:r>
          </w:p>
        </w:tc>
      </w:tr>
      <w:tr w:rsidR="00140147">
        <w:trPr>
          <w:trHeight w:val="187"/>
        </w:trPr>
        <w:tc>
          <w:tcPr>
            <w:tcW w:w="9775" w:type="dxa"/>
            <w:gridSpan w:val="4"/>
          </w:tcPr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140147">
        <w:trPr>
          <w:trHeight w:val="187"/>
        </w:trPr>
        <w:tc>
          <w:tcPr>
            <w:tcW w:w="9775" w:type="dxa"/>
            <w:gridSpan w:val="4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Значения корректирующих коэффициентов</w:t>
            </w:r>
          </w:p>
        </w:tc>
      </w:tr>
      <w:tr w:rsidR="00140147">
        <w:trPr>
          <w:trHeight w:val="345"/>
        </w:trPr>
        <w:tc>
          <w:tcPr>
            <w:tcW w:w="4643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Корректирующие коэффициенты</w:t>
            </w:r>
          </w:p>
        </w:tc>
        <w:tc>
          <w:tcPr>
            <w:tcW w:w="5132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Художественная 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направленность</w:t>
            </w:r>
          </w:p>
        </w:tc>
      </w:tr>
      <w:tr w:rsidR="00140147">
        <w:trPr>
          <w:trHeight w:val="187"/>
        </w:trPr>
        <w:tc>
          <w:tcPr>
            <w:tcW w:w="4643" w:type="dxa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Отраслевой корректирующий коэффициент</w:t>
            </w:r>
          </w:p>
        </w:tc>
        <w:tc>
          <w:tcPr>
            <w:tcW w:w="5132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1</w:t>
            </w:r>
          </w:p>
        </w:tc>
      </w:tr>
      <w:tr w:rsidR="00140147">
        <w:trPr>
          <w:trHeight w:val="375"/>
        </w:trPr>
        <w:tc>
          <w:tcPr>
            <w:tcW w:w="4643" w:type="dxa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Территориальный корректирующий коэффициент</w:t>
            </w:r>
          </w:p>
        </w:tc>
        <w:tc>
          <w:tcPr>
            <w:tcW w:w="5132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1</w:t>
            </w:r>
          </w:p>
        </w:tc>
      </w:tr>
      <w:tr w:rsidR="00140147">
        <w:trPr>
          <w:trHeight w:val="405"/>
        </w:trPr>
        <w:tc>
          <w:tcPr>
            <w:tcW w:w="9775" w:type="dxa"/>
            <w:gridSpan w:val="4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Нормативные затраты на единицу объема услуг</w:t>
            </w:r>
          </w:p>
        </w:tc>
      </w:tr>
      <w:tr w:rsidR="00140147">
        <w:trPr>
          <w:trHeight w:val="578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Составляющие нормативных затрат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Художественная направленность, руб.</w:t>
            </w:r>
          </w:p>
        </w:tc>
      </w:tr>
      <w:tr w:rsidR="00140147">
        <w:trPr>
          <w:trHeight w:val="3048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Затраты на оплату труда и начисления на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правовыми актами, содержащими нормы трудового права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94,39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140147">
        <w:trPr>
          <w:trHeight w:val="390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1,26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140147">
        <w:trPr>
          <w:trHeight w:val="187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Затраты на приобретение средств обучения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0</w:t>
            </w:r>
          </w:p>
        </w:tc>
      </w:tr>
      <w:tr w:rsidR="00140147">
        <w:trPr>
          <w:trHeight w:val="375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Затраты на содержание имущества (в том числе затраты на арендные </w:t>
            </w: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платежи)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18,76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140147">
        <w:trPr>
          <w:trHeight w:val="375"/>
        </w:trPr>
        <w:tc>
          <w:tcPr>
            <w:tcW w:w="7337" w:type="dxa"/>
            <w:gridSpan w:val="3"/>
          </w:tcPr>
          <w:p w:rsidR="00140147" w:rsidRDefault="00237D6E">
            <w:pPr>
              <w:suppressAutoHyphens w:val="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>ИТОГО НОРМАТИВНЫЕ ЗАТРАТЫ НА ЕДИНИЦУ          ОБЪЕМА УСЛУГИ</w:t>
            </w:r>
          </w:p>
        </w:tc>
        <w:tc>
          <w:tcPr>
            <w:tcW w:w="2438" w:type="dxa"/>
          </w:tcPr>
          <w:p w:rsidR="00140147" w:rsidRDefault="00237D6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114,41</w:t>
            </w:r>
          </w:p>
          <w:p w:rsidR="00140147" w:rsidRDefault="00140147">
            <w:pPr>
              <w:suppressAutoHyphens w:val="0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</w:tbl>
    <w:p w:rsidR="00140147" w:rsidRDefault="00140147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 w:rsidR="00140147" w:rsidRDefault="00140147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 w:rsidR="00140147" w:rsidRDefault="00140147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sectPr w:rsidR="00140147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6E" w:rsidRDefault="00237D6E">
      <w:pPr>
        <w:spacing w:after="0" w:line="240" w:lineRule="auto"/>
      </w:pPr>
      <w:r>
        <w:separator/>
      </w:r>
    </w:p>
  </w:endnote>
  <w:endnote w:type="continuationSeparator" w:id="0">
    <w:p w:rsidR="00237D6E" w:rsidRDefault="0023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6E" w:rsidRDefault="00237D6E">
      <w:pPr>
        <w:spacing w:after="0" w:line="240" w:lineRule="auto"/>
      </w:pPr>
      <w:r>
        <w:separator/>
      </w:r>
    </w:p>
  </w:footnote>
  <w:footnote w:type="continuationSeparator" w:id="0">
    <w:p w:rsidR="00237D6E" w:rsidRDefault="0023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934162"/>
      <w:docPartObj>
        <w:docPartGallery w:val="Page Numbers (Top of Page)"/>
        <w:docPartUnique/>
      </w:docPartObj>
    </w:sdtPr>
    <w:sdtEndPr/>
    <w:sdtContent>
      <w:p w:rsidR="00140147" w:rsidRDefault="00237D6E">
        <w:pPr>
          <w:pStyle w:val="aff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72CE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0147" w:rsidRDefault="00140147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3D7"/>
    <w:multiLevelType w:val="multilevel"/>
    <w:tmpl w:val="0C4E7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B50311"/>
    <w:multiLevelType w:val="multilevel"/>
    <w:tmpl w:val="B0C023F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7"/>
    <w:rsid w:val="00140147"/>
    <w:rsid w:val="00237D6E"/>
    <w:rsid w:val="00853D76"/>
    <w:rsid w:val="00E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ED40C-7512-4496-ABD7-7ABB92C5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5A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uiPriority w:val="9"/>
    <w:qFormat/>
    <w:rsid w:val="00A42C34"/>
    <w:pPr>
      <w:keepNext/>
      <w:spacing w:before="240" w:after="120" w:line="240" w:lineRule="auto"/>
      <w:jc w:val="center"/>
      <w:outlineLvl w:val="0"/>
    </w:pPr>
    <w:rPr>
      <w:rFonts w:ascii="Times New Roman" w:hAnsi="Times New Roman"/>
      <w:b/>
      <w:spacing w:val="40"/>
      <w:sz w:val="32"/>
      <w:szCs w:val="20"/>
    </w:rPr>
  </w:style>
  <w:style w:type="paragraph" w:styleId="2">
    <w:name w:val="heading 2"/>
    <w:basedOn w:val="a"/>
    <w:next w:val="a"/>
    <w:uiPriority w:val="9"/>
    <w:qFormat/>
    <w:rsid w:val="00A413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rsid w:val="00927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927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uiPriority w:val="9"/>
    <w:semiHidden/>
    <w:unhideWhenUsed/>
    <w:qFormat/>
    <w:rsid w:val="00927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uiPriority w:val="9"/>
    <w:semiHidden/>
    <w:unhideWhenUsed/>
    <w:qFormat/>
    <w:rsid w:val="00927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uiPriority w:val="9"/>
    <w:semiHidden/>
    <w:unhideWhenUsed/>
    <w:qFormat/>
    <w:rsid w:val="00927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uiPriority w:val="9"/>
    <w:semiHidden/>
    <w:unhideWhenUsed/>
    <w:qFormat/>
    <w:rsid w:val="00927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uiPriority w:val="9"/>
    <w:semiHidden/>
    <w:unhideWhenUsed/>
    <w:qFormat/>
    <w:rsid w:val="00927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qFormat/>
    <w:rsid w:val="00A413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41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2F27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95661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sid w:val="00A42C34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a6">
    <w:name w:val="Текст сноски Знак"/>
    <w:basedOn w:val="a0"/>
    <w:qFormat/>
    <w:rsid w:val="00A42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qFormat/>
    <w:rsid w:val="00A42C3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30">
    <w:name w:val="Основной текст 3 Знак"/>
    <w:basedOn w:val="a0"/>
    <w:link w:val="31"/>
    <w:qFormat/>
    <w:rsid w:val="00A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qFormat/>
    <w:rsid w:val="00FD5AC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8">
    <w:name w:val="Основной текст Знак"/>
    <w:basedOn w:val="a0"/>
    <w:qFormat/>
    <w:rsid w:val="00FD5AC3"/>
    <w:rPr>
      <w:rFonts w:ascii="Calibri" w:eastAsia="Times New Roman" w:hAnsi="Calibri" w:cs="Times New Roman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927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uiPriority w:val="9"/>
    <w:semiHidden/>
    <w:qFormat/>
    <w:rsid w:val="00927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uiPriority w:val="9"/>
    <w:semiHidden/>
    <w:qFormat/>
    <w:rsid w:val="00927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uiPriority w:val="9"/>
    <w:semiHidden/>
    <w:qFormat/>
    <w:rsid w:val="00927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uiPriority w:val="9"/>
    <w:semiHidden/>
    <w:qFormat/>
    <w:rsid w:val="00927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uiPriority w:val="9"/>
    <w:semiHidden/>
    <w:qFormat/>
    <w:rsid w:val="009271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uiPriority w:val="9"/>
    <w:semiHidden/>
    <w:qFormat/>
    <w:rsid w:val="00927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927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27142"/>
    <w:rPr>
      <w:b/>
      <w:bCs/>
    </w:rPr>
  </w:style>
  <w:style w:type="character" w:styleId="ab">
    <w:name w:val="Emphasis"/>
    <w:basedOn w:val="a0"/>
    <w:uiPriority w:val="20"/>
    <w:qFormat/>
    <w:rsid w:val="00927142"/>
    <w:rPr>
      <w:i/>
      <w:iCs/>
    </w:rPr>
  </w:style>
  <w:style w:type="character" w:customStyle="1" w:styleId="21">
    <w:name w:val="Цитата 2 Знак"/>
    <w:basedOn w:val="a0"/>
    <w:link w:val="21"/>
    <w:uiPriority w:val="29"/>
    <w:qFormat/>
    <w:rsid w:val="00927142"/>
    <w:rPr>
      <w:i/>
      <w:iCs/>
      <w:color w:val="000000" w:themeColor="text1"/>
    </w:rPr>
  </w:style>
  <w:style w:type="character" w:customStyle="1" w:styleId="ac">
    <w:name w:val="Выделенная цитата Знак"/>
    <w:basedOn w:val="a0"/>
    <w:uiPriority w:val="30"/>
    <w:qFormat/>
    <w:rsid w:val="0092714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2714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2714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2714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2714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27142"/>
    <w:rPr>
      <w:b/>
      <w:bCs/>
      <w:smallCaps/>
      <w:spacing w:val="5"/>
    </w:rPr>
  </w:style>
  <w:style w:type="character" w:customStyle="1" w:styleId="af2">
    <w:name w:val="Верхний колонтитул Знак"/>
    <w:basedOn w:val="a0"/>
    <w:uiPriority w:val="99"/>
    <w:qFormat/>
    <w:rsid w:val="00927142"/>
  </w:style>
  <w:style w:type="character" w:customStyle="1" w:styleId="af3">
    <w:name w:val="Нижний колонтитул Знак"/>
    <w:basedOn w:val="a0"/>
    <w:uiPriority w:val="99"/>
    <w:qFormat/>
    <w:rsid w:val="00927142"/>
  </w:style>
  <w:style w:type="character" w:customStyle="1" w:styleId="af4">
    <w:name w:val="Цветовое выделение"/>
    <w:uiPriority w:val="99"/>
    <w:qFormat/>
    <w:rsid w:val="00927142"/>
    <w:rPr>
      <w:b/>
      <w:bCs w:val="0"/>
      <w:color w:val="26282F"/>
    </w:rPr>
  </w:style>
  <w:style w:type="character" w:customStyle="1" w:styleId="af5">
    <w:name w:val="Гипертекстовая ссылка"/>
    <w:uiPriority w:val="99"/>
    <w:qFormat/>
    <w:rsid w:val="00927142"/>
    <w:rPr>
      <w:rFonts w:ascii="Times New Roman" w:hAnsi="Times New Roman" w:cs="Times New Roman"/>
      <w:b w:val="0"/>
      <w:bCs w:val="0"/>
      <w:color w:val="106BBE"/>
    </w:rPr>
  </w:style>
  <w:style w:type="character" w:customStyle="1" w:styleId="af6">
    <w:name w:val="Основной текст_"/>
    <w:basedOn w:val="a0"/>
    <w:qFormat/>
    <w:rsid w:val="00166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7">
    <w:name w:val="Подпись к картинке_"/>
    <w:basedOn w:val="a0"/>
    <w:qFormat/>
    <w:rsid w:val="00166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f6"/>
    <w:qFormat/>
    <w:rsid w:val="001666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0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6"/>
    <w:qFormat/>
    <w:rsid w:val="001666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unhideWhenUsed/>
    <w:rsid w:val="00FD5AC3"/>
    <w:pPr>
      <w:spacing w:after="120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next w:val="a"/>
    <w:uiPriority w:val="35"/>
    <w:qFormat/>
    <w:rsid w:val="00A4135A"/>
    <w:pPr>
      <w:spacing w:after="60" w:line="240" w:lineRule="auto"/>
      <w:jc w:val="center"/>
      <w:outlineLvl w:val="0"/>
    </w:pPr>
    <w:rPr>
      <w:rFonts w:ascii="Times New Roman" w:hAnsi="Times New Roman"/>
      <w:caps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b">
    <w:name w:val="Balloon Text"/>
    <w:basedOn w:val="a"/>
    <w:uiPriority w:val="99"/>
    <w:semiHidden/>
    <w:unhideWhenUsed/>
    <w:qFormat/>
    <w:rsid w:val="00A413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F27E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Indent"/>
    <w:basedOn w:val="a"/>
    <w:rsid w:val="002F27E3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paragraph" w:styleId="afd">
    <w:name w:val="List Paragraph"/>
    <w:basedOn w:val="a"/>
    <w:uiPriority w:val="34"/>
    <w:qFormat/>
    <w:rsid w:val="002F27E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Title">
    <w:name w:val="ConsPlusTitle"/>
    <w:qFormat/>
    <w:rsid w:val="00157F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qFormat/>
    <w:rsid w:val="00A42C3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A42C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A42C34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footnote text"/>
    <w:basedOn w:val="a"/>
    <w:rsid w:val="00A42C3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32">
    <w:name w:val="Body Text 3"/>
    <w:basedOn w:val="a"/>
    <w:qFormat/>
    <w:rsid w:val="00A42C3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0">
    <w:name w:val="Title"/>
    <w:basedOn w:val="a"/>
    <w:next w:val="af8"/>
    <w:qFormat/>
    <w:rsid w:val="00FD5AC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ff1">
    <w:name w:val="Subtitle"/>
    <w:basedOn w:val="a"/>
    <w:next w:val="a"/>
    <w:uiPriority w:val="11"/>
    <w:qFormat/>
    <w:rsid w:val="00927142"/>
    <w:p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2">
    <w:name w:val="No Spacing"/>
    <w:uiPriority w:val="1"/>
    <w:qFormat/>
    <w:rsid w:val="00927142"/>
  </w:style>
  <w:style w:type="paragraph" w:styleId="22">
    <w:name w:val="Quote"/>
    <w:basedOn w:val="a"/>
    <w:next w:val="a"/>
    <w:uiPriority w:val="29"/>
    <w:qFormat/>
    <w:rsid w:val="00927142"/>
    <w:rPr>
      <w:rFonts w:eastAsiaTheme="minorHAnsi" w:cstheme="minorBidi"/>
      <w:i/>
      <w:iCs/>
      <w:color w:val="000000" w:themeColor="text1"/>
      <w:lang w:eastAsia="en-US"/>
    </w:rPr>
  </w:style>
  <w:style w:type="paragraph" w:styleId="aff3">
    <w:name w:val="Intense Quote"/>
    <w:basedOn w:val="a"/>
    <w:next w:val="a"/>
    <w:uiPriority w:val="30"/>
    <w:qFormat/>
    <w:rsid w:val="00927142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lang w:eastAsia="en-US"/>
    </w:rPr>
  </w:style>
  <w:style w:type="paragraph" w:styleId="aff4">
    <w:name w:val="index heading"/>
    <w:basedOn w:val="Heading"/>
  </w:style>
  <w:style w:type="paragraph" w:styleId="aff5">
    <w:name w:val="TOC Heading"/>
    <w:basedOn w:val="1"/>
    <w:next w:val="a"/>
    <w:uiPriority w:val="39"/>
    <w:semiHidden/>
    <w:unhideWhenUsed/>
    <w:qFormat/>
    <w:rsid w:val="00927142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en-US"/>
    </w:rPr>
  </w:style>
  <w:style w:type="paragraph" w:customStyle="1" w:styleId="ConsPlusDocList">
    <w:name w:val="ConsPlusDocList"/>
    <w:qFormat/>
    <w:rsid w:val="0092714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92714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92714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92714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f6">
    <w:name w:val="header"/>
    <w:basedOn w:val="a"/>
    <w:uiPriority w:val="99"/>
    <w:unhideWhenUsed/>
    <w:rsid w:val="00927142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paragraph" w:styleId="aff7">
    <w:name w:val="footer"/>
    <w:basedOn w:val="a"/>
    <w:uiPriority w:val="99"/>
    <w:unhideWhenUsed/>
    <w:rsid w:val="00927142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paragraph" w:customStyle="1" w:styleId="210">
    <w:name w:val="Цитата 2 Знак1"/>
    <w:basedOn w:val="a"/>
    <w:qFormat/>
    <w:rsid w:val="001666D6"/>
    <w:pPr>
      <w:shd w:val="clear" w:color="auto" w:fill="FFFFFF"/>
      <w:spacing w:before="300" w:after="0" w:line="638" w:lineRule="exact"/>
    </w:pPr>
    <w:rPr>
      <w:rFonts w:ascii="Times New Roman" w:hAnsi="Times New Roman"/>
      <w:sz w:val="26"/>
      <w:szCs w:val="26"/>
      <w:lang w:eastAsia="en-US"/>
    </w:rPr>
  </w:style>
  <w:style w:type="paragraph" w:customStyle="1" w:styleId="aff8">
    <w:name w:val="Подпись к картинке"/>
    <w:basedOn w:val="a"/>
    <w:qFormat/>
    <w:rsid w:val="001666D6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413EB2"/>
  </w:style>
  <w:style w:type="table" w:styleId="aff9">
    <w:name w:val="Table Grid"/>
    <w:basedOn w:val="a1"/>
    <w:rsid w:val="00A42C34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A32B8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D9229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7659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A7659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902BE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902BE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00F8-0497-4D73-BCB7-24E6A0C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dc:description/>
  <cp:lastModifiedBy>user</cp:lastModifiedBy>
  <cp:revision>4</cp:revision>
  <cp:lastPrinted>2024-07-26T03:13:00Z</cp:lastPrinted>
  <dcterms:created xsi:type="dcterms:W3CDTF">2024-07-26T03:13:00Z</dcterms:created>
  <dcterms:modified xsi:type="dcterms:W3CDTF">2024-07-26T03:13:00Z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