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78" w:rsidRDefault="002B547B">
      <w:pPr>
        <w:shd w:val="clear" w:color="auto" w:fill="FFFFFF"/>
        <w:tabs>
          <w:tab w:val="left" w:pos="16585"/>
          <w:tab w:val="left" w:pos="19987"/>
        </w:tabs>
        <w:spacing w:after="0" w:line="240" w:lineRule="auto"/>
        <w:jc w:val="center"/>
        <w:rPr>
          <w:rFonts w:ascii="Times New Roman" w:eastAsia="Times New Roman" w:hAnsi="Times New Roman" w:cs="Times New Roman"/>
          <w:sz w:val="28"/>
          <w:szCs w:val="28"/>
        </w:rPr>
      </w:pPr>
      <w:r>
        <w:rPr>
          <w:noProof/>
          <w:lang w:eastAsia="ru-RU"/>
        </w:rPr>
        <w:drawing>
          <wp:inline distT="0" distB="0" distL="0" distR="0">
            <wp:extent cx="619125" cy="704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stretch>
                      <a:fillRect/>
                    </a:stretch>
                  </pic:blipFill>
                  <pic:spPr bwMode="auto">
                    <a:xfrm>
                      <a:off x="0" y="0"/>
                      <a:ext cx="619125" cy="704850"/>
                    </a:xfrm>
                    <a:prstGeom prst="rect">
                      <a:avLst/>
                    </a:prstGeom>
                  </pic:spPr>
                </pic:pic>
              </a:graphicData>
            </a:graphic>
          </wp:inline>
        </w:drawing>
      </w:r>
    </w:p>
    <w:p w:rsidR="00760B78" w:rsidRDefault="00760B78">
      <w:pPr>
        <w:shd w:val="clear" w:color="auto" w:fill="FFFFFF"/>
        <w:spacing w:after="0" w:line="240" w:lineRule="auto"/>
        <w:jc w:val="center"/>
        <w:rPr>
          <w:rFonts w:ascii="Times New Roman" w:eastAsia="Times New Roman" w:hAnsi="Times New Roman" w:cs="Times New Roman"/>
          <w:spacing w:val="1"/>
          <w:sz w:val="28"/>
          <w:szCs w:val="28"/>
        </w:rPr>
      </w:pPr>
    </w:p>
    <w:p w:rsidR="00760B78" w:rsidRDefault="002B547B">
      <w:pPr>
        <w:spacing w:after="0" w:line="240" w:lineRule="auto"/>
        <w:jc w:val="center"/>
        <w:outlineLvl w:val="7"/>
        <w:rPr>
          <w:rFonts w:ascii="Times New Roman" w:eastAsia="Times New Roman" w:hAnsi="Times New Roman" w:cs="Times New Roman"/>
          <w:b/>
          <w:bCs/>
          <w:iCs/>
          <w:spacing w:val="1"/>
          <w:sz w:val="28"/>
          <w:szCs w:val="28"/>
        </w:rPr>
      </w:pPr>
      <w:r>
        <w:rPr>
          <w:rFonts w:ascii="Times New Roman" w:eastAsia="Times New Roman" w:hAnsi="Times New Roman" w:cs="Times New Roman"/>
          <w:b/>
          <w:bCs/>
          <w:iCs/>
          <w:spacing w:val="1"/>
          <w:sz w:val="28"/>
          <w:szCs w:val="28"/>
          <w:lang w:eastAsia="ru-RU"/>
        </w:rPr>
        <w:t xml:space="preserve">АДМИНИСТРАЦИЯ ОРДЫНСКОГО РАЙОНА </w:t>
      </w:r>
    </w:p>
    <w:p w:rsidR="00760B78" w:rsidRDefault="002B547B">
      <w:pPr>
        <w:spacing w:after="0" w:line="240" w:lineRule="auto"/>
        <w:jc w:val="center"/>
        <w:outlineLvl w:val="7"/>
        <w:rPr>
          <w:rFonts w:ascii="Times New Roman" w:eastAsia="Times New Roman" w:hAnsi="Times New Roman" w:cs="Times New Roman"/>
          <w:b/>
          <w:bCs/>
          <w:iCs/>
          <w:spacing w:val="1"/>
          <w:sz w:val="28"/>
          <w:szCs w:val="28"/>
        </w:rPr>
      </w:pPr>
      <w:r>
        <w:rPr>
          <w:rFonts w:ascii="Times New Roman" w:eastAsia="Times New Roman" w:hAnsi="Times New Roman" w:cs="Times New Roman"/>
          <w:b/>
          <w:bCs/>
          <w:iCs/>
          <w:spacing w:val="1"/>
          <w:sz w:val="28"/>
          <w:szCs w:val="28"/>
          <w:lang w:eastAsia="ru-RU"/>
        </w:rPr>
        <w:t>НОВОСИБИРСКОЙ ОБЛАСТИ</w:t>
      </w:r>
    </w:p>
    <w:p w:rsidR="00760B78" w:rsidRDefault="00760B78">
      <w:pPr>
        <w:spacing w:after="0" w:line="240" w:lineRule="auto"/>
        <w:jc w:val="center"/>
        <w:rPr>
          <w:rFonts w:ascii="Times New Roman" w:eastAsia="Times New Roman" w:hAnsi="Times New Roman" w:cs="Times New Roman"/>
          <w:b/>
          <w:bCs/>
          <w:sz w:val="28"/>
          <w:szCs w:val="28"/>
        </w:rPr>
      </w:pPr>
    </w:p>
    <w:p w:rsidR="00760B78" w:rsidRDefault="002B547B">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eastAsia="ru-RU"/>
        </w:rPr>
        <w:t>ПОСТАНОВЛЕНИЕ</w:t>
      </w:r>
    </w:p>
    <w:p w:rsidR="00760B78" w:rsidRDefault="00760B78">
      <w:pPr>
        <w:spacing w:after="0" w:line="240" w:lineRule="auto"/>
        <w:jc w:val="center"/>
        <w:rPr>
          <w:rFonts w:ascii="Times New Roman" w:eastAsia="Times New Roman" w:hAnsi="Times New Roman" w:cs="Times New Roman"/>
          <w:sz w:val="28"/>
          <w:szCs w:val="28"/>
        </w:rPr>
      </w:pPr>
    </w:p>
    <w:p w:rsidR="00760B78" w:rsidRDefault="002B547B">
      <w:pPr>
        <w:jc w:val="center"/>
        <w:rPr>
          <w:rFonts w:ascii="Times New Roman" w:hAnsi="Times New Roman" w:cs="Times New Roman"/>
          <w:sz w:val="36"/>
          <w:szCs w:val="36"/>
        </w:rPr>
      </w:pPr>
      <w:r>
        <w:rPr>
          <w:noProof/>
          <w:lang w:eastAsia="ru-RU"/>
        </w:rPr>
        <w:drawing>
          <wp:anchor distT="0" distB="0" distL="0" distR="0" simplePos="0" relativeHeight="3" behindDoc="0" locked="0" layoutInCell="0" allowOverlap="1" wp14:anchorId="0F101420" wp14:editId="76E0D29C">
            <wp:simplePos x="0" y="0"/>
            <wp:positionH relativeFrom="character">
              <wp:posOffset>-693234</wp:posOffset>
            </wp:positionH>
            <wp:positionV relativeFrom="paragraph">
              <wp:posOffset>11786</wp:posOffset>
            </wp:positionV>
            <wp:extent cx="2893695" cy="252095"/>
            <wp:effectExtent l="0" t="0" r="1905"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color w:val="DDD9C3"/>
          <w:sz w:val="24"/>
          <w:szCs w:val="24"/>
        </w:rPr>
        <w:t>_</w:t>
      </w:r>
      <w:r>
        <w:rPr>
          <w:rFonts w:ascii="Times New Roman" w:hAnsi="Times New Roman" w:cs="Times New Roman"/>
          <w:color w:val="DDD9C3"/>
          <w:sz w:val="24"/>
          <w:szCs w:val="24"/>
          <w:u w:val="single"/>
        </w:rPr>
        <w:t xml:space="preserve">  </w:t>
      </w:r>
      <w:r>
        <w:rPr>
          <w:rFonts w:ascii="Times New Roman" w:hAnsi="Times New Roman" w:cs="Times New Roman"/>
          <w:color w:val="DDD9C3"/>
          <w:sz w:val="24"/>
          <w:szCs w:val="24"/>
        </w:rPr>
        <w:t>_</w:t>
      </w:r>
    </w:p>
    <w:p w:rsidR="00760B78" w:rsidRDefault="002B547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lang w:eastAsia="ru-RU"/>
        </w:rPr>
        <w:t xml:space="preserve"> </w:t>
      </w:r>
    </w:p>
    <w:p w:rsidR="00760B78" w:rsidRDefault="002B547B">
      <w:pPr>
        <w:spacing w:after="0" w:line="240" w:lineRule="auto"/>
        <w:jc w:val="cente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lang w:eastAsia="ru-RU"/>
        </w:rPr>
        <w:t>р.п</w:t>
      </w:r>
      <w:proofErr w:type="spellEnd"/>
      <w:r>
        <w:rPr>
          <w:rFonts w:ascii="Times New Roman" w:eastAsia="Times New Roman" w:hAnsi="Times New Roman" w:cs="Times New Roman"/>
          <w:sz w:val="28"/>
          <w:szCs w:val="28"/>
          <w:lang w:eastAsia="ru-RU"/>
        </w:rPr>
        <w:t>. Ордынское</w:t>
      </w:r>
    </w:p>
    <w:p w:rsidR="002B547B" w:rsidRDefault="002B547B">
      <w:pPr>
        <w:widowControl w:val="0"/>
        <w:spacing w:after="0" w:line="240" w:lineRule="auto"/>
        <w:ind w:left="284"/>
        <w:jc w:val="center"/>
        <w:rPr>
          <w:rFonts w:ascii="Times New Roman" w:eastAsia="Times New Roman" w:hAnsi="Times New Roman" w:cs="Times New Roman"/>
          <w:color w:val="000000"/>
          <w:sz w:val="28"/>
          <w:szCs w:val="28"/>
          <w:lang w:eastAsia="ru-RU"/>
        </w:rPr>
      </w:pPr>
    </w:p>
    <w:p w:rsidR="00760B78" w:rsidRDefault="002B547B">
      <w:pPr>
        <w:widowControl w:val="0"/>
        <w:spacing w:after="0" w:line="240" w:lineRule="auto"/>
        <w:ind w:left="284"/>
        <w:jc w:val="center"/>
        <w:rPr>
          <w:rFonts w:ascii="Arial" w:hAnsi="Arial" w:cs="Arial"/>
          <w:b/>
          <w:bCs/>
          <w:sz w:val="20"/>
          <w:szCs w:val="20"/>
        </w:rPr>
      </w:pPr>
      <w:r>
        <w:rPr>
          <w:rFonts w:ascii="Times New Roman" w:eastAsia="Times New Roman" w:hAnsi="Times New Roman" w:cs="Times New Roman"/>
          <w:color w:val="000000"/>
          <w:sz w:val="28"/>
          <w:szCs w:val="28"/>
          <w:lang w:eastAsia="ru-RU"/>
        </w:rPr>
        <w:t>Об утверждении Порядка взыскания в доход бюджета Ордынского района Новосибирской области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760B78" w:rsidRDefault="00760B78">
      <w:pPr>
        <w:widowControl w:val="0"/>
        <w:spacing w:after="0" w:line="240" w:lineRule="auto"/>
        <w:ind w:firstLine="540"/>
        <w:jc w:val="both"/>
        <w:rPr>
          <w:rFonts w:ascii="Times New Roman" w:eastAsia="Times New Roman" w:hAnsi="Times New Roman" w:cs="Times New Roman"/>
          <w:color w:val="000000"/>
          <w:sz w:val="28"/>
          <w:szCs w:val="28"/>
        </w:rPr>
      </w:pPr>
    </w:p>
    <w:p w:rsidR="00760B78" w:rsidRDefault="002B547B">
      <w:pPr>
        <w:tabs>
          <w:tab w:val="left" w:pos="851"/>
        </w:tabs>
        <w:spacing w:after="0" w:line="240" w:lineRule="auto"/>
        <w:ind w:left="284" w:hanging="284"/>
        <w:contextualSpacing/>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В соответствии с </w:t>
      </w:r>
      <w:hyperlink r:id="rId7" w:tgtFrame="Бюджетный кодекс Российской Федерации">
        <w:r>
          <w:rPr>
            <w:rStyle w:val="aa"/>
            <w:rFonts w:ascii="Times New Roman" w:hAnsi="Times New Roman" w:cs="Times New Roman"/>
            <w:color w:val="auto"/>
            <w:sz w:val="28"/>
            <w:szCs w:val="28"/>
            <w:u w:val="none"/>
          </w:rPr>
          <w:t>абзацем шестым пункта 5 статьи 242</w:t>
        </w:r>
      </w:hyperlink>
      <w:r>
        <w:rPr>
          <w:rFonts w:ascii="Times New Roman" w:hAnsi="Times New Roman" w:cs="Times New Roman"/>
          <w:sz w:val="28"/>
          <w:szCs w:val="28"/>
        </w:rPr>
        <w:t xml:space="preserve"> Бюджетного кодекса Российской Федерации, </w:t>
      </w:r>
      <w:hyperlink r:id="rId8" w:tgtFrame="Приказ Минфина России от 13.04.2020 N 68н (ред. от 26.07.2021)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w:r>
          <w:rPr>
            <w:rStyle w:val="aa"/>
            <w:rFonts w:ascii="Times New Roman" w:hAnsi="Times New Roman" w:cs="Times New Roman"/>
            <w:color w:val="auto"/>
            <w:sz w:val="28"/>
            <w:szCs w:val="28"/>
            <w:u w:val="none"/>
          </w:rPr>
          <w:t>приказом</w:t>
        </w:r>
      </w:hyperlink>
      <w:r>
        <w:rPr>
          <w:rFonts w:ascii="Times New Roman" w:hAnsi="Times New Roman" w:cs="Times New Roman"/>
          <w:sz w:val="28"/>
          <w:szCs w:val="28"/>
        </w:rPr>
        <w:t xml:space="preserve"> Министерства финансов Российской Федерации от 13.04.2020 №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руководствуясь Уставом Ордынского муниципального района Новосибирской области,</w:t>
      </w:r>
      <w:r>
        <w:rPr>
          <w:rFonts w:ascii="Arial" w:hAnsi="Arial" w:cs="Arial"/>
          <w:sz w:val="20"/>
          <w:szCs w:val="20"/>
        </w:rPr>
        <w:t xml:space="preserve"> </w:t>
      </w:r>
      <w:r>
        <w:rPr>
          <w:rFonts w:ascii="Times New Roman" w:eastAsia="Times New Roman" w:hAnsi="Times New Roman" w:cs="Times New Roman"/>
          <w:sz w:val="28"/>
          <w:szCs w:val="28"/>
          <w:lang w:eastAsia="ru-RU"/>
        </w:rPr>
        <w:t xml:space="preserve">администрация Ордынского района Новосибирской области </w:t>
      </w:r>
      <w:r>
        <w:rPr>
          <w:rFonts w:ascii="Times New Roman" w:eastAsia="Times New Roman" w:hAnsi="Times New Roman" w:cs="Times New Roman"/>
          <w:b/>
          <w:bCs/>
          <w:sz w:val="28"/>
          <w:szCs w:val="28"/>
          <w:lang w:eastAsia="ru-RU"/>
        </w:rPr>
        <w:t>п о с </w:t>
      </w:r>
      <w:proofErr w:type="gramStart"/>
      <w:r>
        <w:rPr>
          <w:rFonts w:ascii="Times New Roman" w:eastAsia="Times New Roman" w:hAnsi="Times New Roman" w:cs="Times New Roman"/>
          <w:b/>
          <w:bCs/>
          <w:sz w:val="28"/>
          <w:szCs w:val="28"/>
          <w:lang w:eastAsia="ru-RU"/>
        </w:rPr>
        <w:t>т</w:t>
      </w:r>
      <w:proofErr w:type="gramEnd"/>
      <w:r>
        <w:rPr>
          <w:rFonts w:ascii="Times New Roman" w:eastAsia="Times New Roman" w:hAnsi="Times New Roman" w:cs="Times New Roman"/>
          <w:b/>
          <w:bCs/>
          <w:sz w:val="28"/>
          <w:szCs w:val="28"/>
          <w:lang w:eastAsia="ru-RU"/>
        </w:rPr>
        <w:t> а н о в л я е т</w:t>
      </w:r>
      <w:r>
        <w:rPr>
          <w:rFonts w:ascii="Times New Roman" w:eastAsia="Times New Roman" w:hAnsi="Times New Roman" w:cs="Times New Roman"/>
          <w:sz w:val="28"/>
          <w:szCs w:val="28"/>
          <w:lang w:eastAsia="ru-RU"/>
        </w:rPr>
        <w:t>:</w:t>
      </w:r>
    </w:p>
    <w:p w:rsidR="00760B78" w:rsidRDefault="002B547B">
      <w:pPr>
        <w:spacing w:after="0" w:line="240" w:lineRule="auto"/>
        <w:ind w:left="284"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1.Утвердить прилагаемый </w:t>
      </w:r>
      <w:hyperlink w:anchor="P41" w:tgtFrame="ПОРЯДОК">
        <w:r>
          <w:rPr>
            <w:rStyle w:val="aa"/>
            <w:rFonts w:ascii="Times New Roman" w:hAnsi="Times New Roman" w:cs="Times New Roman"/>
            <w:color w:val="auto"/>
            <w:sz w:val="28"/>
            <w:szCs w:val="28"/>
            <w:u w:val="none"/>
          </w:rPr>
          <w:t>Порядок</w:t>
        </w:r>
      </w:hyperlink>
      <w:r>
        <w:rPr>
          <w:rFonts w:ascii="Times New Roman" w:hAnsi="Times New Roman" w:cs="Times New Roman"/>
          <w:sz w:val="28"/>
          <w:szCs w:val="28"/>
        </w:rPr>
        <w:t xml:space="preserve"> взыскания в доход бюджета Ордынского района Новосибирской области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760B78" w:rsidRDefault="002B547B">
      <w:pPr>
        <w:spacing w:after="0" w:line="240" w:lineRule="auto"/>
        <w:ind w:left="284" w:firstLine="255"/>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2.Настоящее постановление опубликовать в периодическом печатном издании органов местного самоуправления Ордынского района Новосибирской области «Ордынский Вестник» и разместить на официальном сайте администрации Ордынского района Новосибирской области в информационно-телекоммуникационной сети «Интернет».</w:t>
      </w:r>
    </w:p>
    <w:p w:rsidR="00760B78" w:rsidRDefault="002B547B">
      <w:pPr>
        <w:spacing w:after="0" w:line="240" w:lineRule="auto"/>
        <w:ind w:left="284" w:firstLine="539"/>
        <w:contextualSpacing/>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3.Контроль за исполнением настоящего постановления возложить на заместителя главы администрации Ордынского района Новосибирской области Склярову Г.Д.</w:t>
      </w:r>
    </w:p>
    <w:p w:rsidR="00760B78" w:rsidRDefault="00760B78">
      <w:pPr>
        <w:spacing w:after="0" w:line="240" w:lineRule="auto"/>
        <w:ind w:firstLine="540"/>
        <w:jc w:val="both"/>
        <w:rPr>
          <w:rFonts w:ascii="Arial" w:hAnsi="Arial" w:cs="Arial"/>
          <w:sz w:val="20"/>
          <w:szCs w:val="20"/>
        </w:rPr>
      </w:pPr>
    </w:p>
    <w:p w:rsidR="00760B78" w:rsidRDefault="00760B78">
      <w:pPr>
        <w:spacing w:after="0" w:line="240" w:lineRule="auto"/>
        <w:ind w:firstLine="540"/>
        <w:jc w:val="both"/>
        <w:rPr>
          <w:rFonts w:ascii="Arial" w:hAnsi="Arial" w:cs="Arial"/>
          <w:sz w:val="20"/>
          <w:szCs w:val="20"/>
        </w:rPr>
      </w:pPr>
    </w:p>
    <w:p w:rsidR="00760B78" w:rsidRDefault="00760B78">
      <w:pPr>
        <w:spacing w:after="0" w:line="240" w:lineRule="auto"/>
        <w:ind w:firstLine="540"/>
        <w:jc w:val="both"/>
        <w:rPr>
          <w:rFonts w:ascii="Arial" w:hAnsi="Arial" w:cs="Arial"/>
          <w:sz w:val="20"/>
          <w:szCs w:val="20"/>
        </w:rPr>
      </w:pPr>
    </w:p>
    <w:p w:rsidR="00760B78" w:rsidRDefault="002B547B">
      <w:pPr>
        <w:spacing w:after="0" w:line="240" w:lineRule="auto"/>
        <w:ind w:left="284"/>
        <w:rPr>
          <w:rFonts w:ascii="Times New Roman" w:hAnsi="Times New Roman" w:cs="Times New Roman"/>
          <w:sz w:val="28"/>
          <w:szCs w:val="28"/>
        </w:rPr>
      </w:pPr>
      <w:r>
        <w:rPr>
          <w:rFonts w:ascii="Times New Roman" w:hAnsi="Times New Roman" w:cs="Times New Roman"/>
          <w:sz w:val="28"/>
          <w:szCs w:val="28"/>
        </w:rPr>
        <w:t>Глава Ордынского района</w:t>
      </w:r>
    </w:p>
    <w:p w:rsidR="00760B78" w:rsidRDefault="002B547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Новосибирской области                                                                       О.А. Орел</w:t>
      </w:r>
    </w:p>
    <w:p w:rsidR="00760B78" w:rsidRDefault="00760B78">
      <w:pPr>
        <w:spacing w:after="0" w:line="240" w:lineRule="auto"/>
        <w:jc w:val="center"/>
        <w:rPr>
          <w:rFonts w:ascii="Times New Roman" w:hAnsi="Times New Roman" w:cs="Times New Roman"/>
          <w:sz w:val="28"/>
          <w:szCs w:val="28"/>
        </w:rPr>
      </w:pPr>
    </w:p>
    <w:p w:rsidR="00760B78" w:rsidRDefault="002B547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Семенова И.Н.</w:t>
      </w:r>
    </w:p>
    <w:p w:rsidR="00760B78" w:rsidRDefault="002B54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0"/>
          <w:szCs w:val="20"/>
          <w:lang w:eastAsia="ru-RU"/>
        </w:rPr>
        <w:t xml:space="preserve">      23-313</w:t>
      </w:r>
    </w:p>
    <w:p w:rsidR="00760B78" w:rsidRDefault="00760B78">
      <w:pPr>
        <w:spacing w:after="0" w:line="240" w:lineRule="auto"/>
        <w:rPr>
          <w:rFonts w:ascii="Times New Roman" w:hAnsi="Times New Roman" w:cs="Times New Roman"/>
          <w:sz w:val="28"/>
          <w:szCs w:val="28"/>
        </w:rPr>
      </w:pPr>
    </w:p>
    <w:p w:rsidR="00760B78" w:rsidRDefault="002B547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Утвержден</w:t>
      </w:r>
    </w:p>
    <w:p w:rsidR="00760B78" w:rsidRDefault="002B547B">
      <w:pPr>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60B78" w:rsidRDefault="002B547B">
      <w:pPr>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 xml:space="preserve">Ордынского района </w:t>
      </w:r>
    </w:p>
    <w:p w:rsidR="00760B78" w:rsidRDefault="002B547B">
      <w:pPr>
        <w:spacing w:after="0" w:line="240" w:lineRule="auto"/>
        <w:ind w:firstLine="540"/>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60B78" w:rsidRDefault="002B547B">
      <w:pPr>
        <w:spacing w:after="0" w:line="240" w:lineRule="auto"/>
        <w:ind w:firstLine="540"/>
        <w:jc w:val="right"/>
        <w:rPr>
          <w:rFonts w:ascii="Times New Roman" w:hAnsi="Times New Roman" w:cs="Times New Roman"/>
          <w:sz w:val="28"/>
          <w:szCs w:val="28"/>
        </w:rPr>
      </w:pPr>
      <w:r>
        <w:rPr>
          <w:noProof/>
          <w:lang w:eastAsia="ru-RU"/>
        </w:rPr>
        <w:drawing>
          <wp:anchor distT="0" distB="0" distL="0" distR="0" simplePos="0" relativeHeight="251659264" behindDoc="0" locked="0" layoutInCell="0" allowOverlap="1" wp14:anchorId="456C7E90" wp14:editId="6E4036B2">
            <wp:simplePos x="0" y="0"/>
            <wp:positionH relativeFrom="page">
              <wp:align>right</wp:align>
            </wp:positionH>
            <wp:positionV relativeFrom="paragraph">
              <wp:posOffset>65916</wp:posOffset>
            </wp:positionV>
            <wp:extent cx="2893695" cy="252095"/>
            <wp:effectExtent l="0" t="0" r="1905" b="0"/>
            <wp:wrapNone/>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6"/>
                    <a:stretch>
                      <a:fillRect/>
                    </a:stretch>
                  </pic:blipFill>
                  <pic:spPr bwMode="auto">
                    <a:xfrm>
                      <a:off x="0" y="0"/>
                      <a:ext cx="2893695" cy="252095"/>
                    </a:xfrm>
                    <a:prstGeom prst="rect">
                      <a:avLst/>
                    </a:prstGeom>
                  </pic:spPr>
                </pic:pic>
              </a:graphicData>
            </a:graphic>
          </wp:anchor>
        </w:drawing>
      </w:r>
      <w:r>
        <w:rPr>
          <w:rFonts w:ascii="Times New Roman" w:hAnsi="Times New Roman" w:cs="Times New Roman"/>
          <w:sz w:val="28"/>
          <w:szCs w:val="28"/>
        </w:rPr>
        <w:t>от «__</w:t>
      </w:r>
      <w:proofErr w:type="gramStart"/>
      <w:r>
        <w:rPr>
          <w:rFonts w:ascii="Times New Roman" w:hAnsi="Times New Roman" w:cs="Times New Roman"/>
          <w:sz w:val="28"/>
          <w:szCs w:val="28"/>
        </w:rPr>
        <w:t>_»_</w:t>
      </w:r>
      <w:proofErr w:type="gramEnd"/>
      <w:r>
        <w:rPr>
          <w:rFonts w:ascii="Times New Roman" w:hAnsi="Times New Roman" w:cs="Times New Roman"/>
          <w:sz w:val="28"/>
          <w:szCs w:val="28"/>
        </w:rPr>
        <w:t>_________2024 г №____</w:t>
      </w:r>
    </w:p>
    <w:p w:rsidR="00760B78" w:rsidRDefault="00760B78">
      <w:pPr>
        <w:spacing w:after="0" w:line="240" w:lineRule="auto"/>
        <w:rPr>
          <w:rFonts w:ascii="Arial" w:hAnsi="Arial" w:cs="Arial"/>
          <w:b/>
          <w:bCs/>
          <w:sz w:val="20"/>
          <w:szCs w:val="20"/>
        </w:rPr>
      </w:pPr>
      <w:bookmarkStart w:id="0" w:name="Par41"/>
      <w:bookmarkEnd w:id="0"/>
    </w:p>
    <w:p w:rsidR="00760B78" w:rsidRDefault="00760B78">
      <w:pPr>
        <w:spacing w:after="0" w:line="240" w:lineRule="auto"/>
        <w:jc w:val="center"/>
        <w:rPr>
          <w:rFonts w:ascii="Arial" w:hAnsi="Arial" w:cs="Arial"/>
          <w:b/>
          <w:bCs/>
          <w:sz w:val="20"/>
          <w:szCs w:val="20"/>
        </w:rPr>
      </w:pPr>
    </w:p>
    <w:p w:rsidR="00760B78" w:rsidRDefault="002B547B">
      <w:pPr>
        <w:widowControl w:val="0"/>
        <w:spacing w:after="0" w:line="240" w:lineRule="auto"/>
        <w:ind w:left="28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Порядок </w:t>
      </w:r>
    </w:p>
    <w:p w:rsidR="00760B78" w:rsidRDefault="002B547B">
      <w:pPr>
        <w:widowControl w:val="0"/>
        <w:spacing w:after="0" w:line="240" w:lineRule="auto"/>
        <w:ind w:left="284"/>
        <w:jc w:val="center"/>
        <w:rPr>
          <w:rFonts w:ascii="Arial" w:hAnsi="Arial" w:cs="Arial"/>
          <w:b/>
          <w:bCs/>
          <w:sz w:val="20"/>
          <w:szCs w:val="20"/>
        </w:rPr>
      </w:pPr>
      <w:r>
        <w:rPr>
          <w:rFonts w:ascii="Times New Roman" w:eastAsia="Times New Roman" w:hAnsi="Times New Roman" w:cs="Times New Roman"/>
          <w:color w:val="000000"/>
          <w:sz w:val="28"/>
          <w:szCs w:val="28"/>
          <w:lang w:eastAsia="ru-RU"/>
        </w:rPr>
        <w:t>взыскания в доход бюджета Ордынского района Новосибирской области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w:t>
      </w:r>
    </w:p>
    <w:p w:rsidR="00760B78" w:rsidRDefault="00760B78">
      <w:pPr>
        <w:widowControl w:val="0"/>
        <w:spacing w:after="0" w:line="240" w:lineRule="auto"/>
        <w:ind w:firstLine="540"/>
        <w:jc w:val="both"/>
        <w:rPr>
          <w:rFonts w:ascii="Arial" w:eastAsiaTheme="minorEastAsia" w:hAnsi="Arial" w:cs="Arial"/>
          <w:sz w:val="20"/>
        </w:rPr>
      </w:pP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1. Настоящий Порядок устанавливает правила взыскания в доход бюджета Ордынского района Новосибирской области (далее - районный бюджет) не использованных по состоянию на 1 января текущего финансового года остатков межбюджетных трансфертов, полученных из районного бюджета бюджетами муниципальных образований Ордынского района Новосибирской области (далее - местные бюджеты) в </w:t>
      </w:r>
      <w:bookmarkStart w:id="1" w:name="_GoBack"/>
      <w:bookmarkEnd w:id="1"/>
      <w:r>
        <w:rPr>
          <w:rFonts w:ascii="Times New Roman" w:eastAsiaTheme="minorEastAsia" w:hAnsi="Times New Roman" w:cs="Times New Roman"/>
          <w:sz w:val="28"/>
          <w:szCs w:val="28"/>
          <w:lang w:eastAsia="ru-RU"/>
        </w:rPr>
        <w:t>форме субвенций, субсидий, иных межбюджетных трансфертов, имеющих целевое назначение, (далее - неиспользованные остатки целевых средств).</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2. Формирование и обмен документами (за исключением документов, содержащих сведения, составляющие государственную тайну) в рамках настоящего Порядка осуществляется в форме электронных документов в государственной интегрированной информационной системе управления общественными финансами "Электронный бюджет" (далее - Электронный бюджет) с применением классификаторов, реестров и справочников, ведение которых осуществляется в соответствии с </w:t>
      </w:r>
      <w:hyperlink r:id="rId9" w:tgtFrame="Постановление Правительства РФ от 30.06.2015 N 658 (ред. от 07.09.2022) О государственной интегрированной информационной системе управления общественными финансами Электронный бюджет">
        <w:r>
          <w:rPr>
            <w:rFonts w:ascii="Times New Roman" w:eastAsiaTheme="minorEastAsia" w:hAnsi="Times New Roman" w:cs="Times New Roman"/>
            <w:sz w:val="28"/>
            <w:szCs w:val="28"/>
            <w:lang w:eastAsia="ru-RU"/>
          </w:rPr>
          <w:t>Положением</w:t>
        </w:r>
      </w:hyperlink>
      <w:r>
        <w:rPr>
          <w:rFonts w:ascii="Times New Roman" w:eastAsiaTheme="minorEastAsia" w:hAnsi="Times New Roman" w:cs="Times New Roman"/>
          <w:sz w:val="28"/>
          <w:szCs w:val="28"/>
          <w:lang w:eastAsia="ru-RU"/>
        </w:rPr>
        <w:t xml:space="preserve">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и с использованием усиленных квалифицированных электронных подписей (далее - электронная подпись) уполномоченных лиц.</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В случае отсутствия технической возможности использования Электронного бюджета формирование и обмен документами в рамках настоящего Порядка осуществляется с использованием существующих систем документооборота, в том числе электронного.</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bookmarkStart w:id="2" w:name="P52"/>
      <w:bookmarkEnd w:id="2"/>
      <w:r>
        <w:rPr>
          <w:rFonts w:ascii="Times New Roman" w:eastAsiaTheme="minorEastAsia" w:hAnsi="Times New Roman" w:cs="Times New Roman"/>
          <w:sz w:val="28"/>
          <w:szCs w:val="28"/>
          <w:lang w:eastAsia="ru-RU"/>
        </w:rPr>
        <w:t>3. Не использованные по состоянию на 1 января текущего финансового года остатки целевых средств подлежат возврату в районный бюджет органами местного самоуправления муниципальных образований Ордынского района Новосибирской области (органами местного самоуправления), за которыми в соответствии с муниципальными правовыми актами (нормативными правовыми актами) закреплены источники доходов бюджета по возврату остатков целевых средств (далее совместно - администраторы доходов по возврату остатков), в течение первых 15 рабочих дней текущего финансового года (15 рабочих дней текущего финансового года).</w:t>
      </w:r>
    </w:p>
    <w:p w:rsidR="00760B78" w:rsidRDefault="002B547B">
      <w:pPr>
        <w:widowControl w:val="0"/>
        <w:spacing w:after="0" w:line="240" w:lineRule="auto"/>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4. В случае если неиспользованные остатки целевых средств не перечислены в </w:t>
      </w:r>
      <w:r>
        <w:rPr>
          <w:rFonts w:ascii="Times New Roman" w:eastAsiaTheme="minorEastAsia" w:hAnsi="Times New Roman" w:cs="Times New Roman"/>
          <w:sz w:val="28"/>
          <w:szCs w:val="28"/>
          <w:lang w:eastAsia="ru-RU"/>
        </w:rPr>
        <w:lastRenderedPageBreak/>
        <w:t xml:space="preserve">доход районного бюджета в сроки, установленные в </w:t>
      </w:r>
      <w:hyperlink w:anchor="P52" w:tgtFrame="3. Не использованные по состоянию на 1 января текущего финансового года остатки целевых средств подлежат возврату в областной бюджет органами местного самоуправления Новосибирской области (органами управления фондами), за которыми в соответствии с муницип">
        <w:r>
          <w:rPr>
            <w:rFonts w:ascii="Times New Roman" w:eastAsiaTheme="minorEastAsia" w:hAnsi="Times New Roman" w:cs="Times New Roman"/>
            <w:sz w:val="28"/>
            <w:szCs w:val="28"/>
            <w:lang w:eastAsia="ru-RU"/>
          </w:rPr>
          <w:t>пункте 3</w:t>
        </w:r>
      </w:hyperlink>
      <w:r>
        <w:rPr>
          <w:rFonts w:ascii="Times New Roman" w:eastAsiaTheme="minorEastAsia" w:hAnsi="Times New Roman" w:cs="Times New Roman"/>
          <w:sz w:val="28"/>
          <w:szCs w:val="28"/>
          <w:lang w:eastAsia="ru-RU"/>
        </w:rPr>
        <w:t xml:space="preserve"> настоящего Порядка, главный администратор доходов районного бюджета от возврата неиспользованных остатков целевых средств (далее - главный администратор доходов от возврата остатков) в течение 5 рабочих дней после истечения сроков, установленных пунктом 3 настоящего Порядка, формирует </w:t>
      </w:r>
      <w:hyperlink w:anchor="P85" w:tgtFrame="СВЕДЕНИЯ">
        <w:r>
          <w:rPr>
            <w:rFonts w:ascii="Times New Roman" w:eastAsiaTheme="minorEastAsia" w:hAnsi="Times New Roman" w:cs="Times New Roman"/>
            <w:sz w:val="28"/>
            <w:szCs w:val="28"/>
            <w:lang w:eastAsia="ru-RU"/>
          </w:rPr>
          <w:t>сведения</w:t>
        </w:r>
      </w:hyperlink>
      <w:r>
        <w:rPr>
          <w:rFonts w:ascii="Times New Roman" w:eastAsiaTheme="minorEastAsia" w:hAnsi="Times New Roman" w:cs="Times New Roman"/>
          <w:sz w:val="28"/>
          <w:szCs w:val="28"/>
          <w:lang w:eastAsia="ru-RU"/>
        </w:rPr>
        <w:t xml:space="preserve"> о неиспользованных остатках целевых средств по форме согласно приложению к настоящему Порядку (далее - Сведения) с приложением документов, указанных в </w:t>
      </w:r>
      <w:hyperlink w:anchor="P54" w:tgtFrame="5. Сведения формируются главными администраторами доходов от возврата остатков на основании полученных от Управления Федерального казначейства по Новосибирской области (далее - УФК по НСО) выписок по лицевым счетам главных администраторов доходов от возвр">
        <w:r>
          <w:rPr>
            <w:rFonts w:ascii="Times New Roman" w:eastAsiaTheme="minorEastAsia" w:hAnsi="Times New Roman" w:cs="Times New Roman"/>
            <w:sz w:val="28"/>
            <w:szCs w:val="28"/>
            <w:lang w:eastAsia="ru-RU"/>
          </w:rPr>
          <w:t>пункте 5</w:t>
        </w:r>
      </w:hyperlink>
      <w:r>
        <w:rPr>
          <w:rFonts w:ascii="Times New Roman" w:eastAsiaTheme="minorEastAsia" w:hAnsi="Times New Roman" w:cs="Times New Roman"/>
          <w:sz w:val="28"/>
          <w:szCs w:val="28"/>
          <w:lang w:eastAsia="ru-RU"/>
        </w:rPr>
        <w:t xml:space="preserve"> настоящего Порядка (далее - прилагаемые к Сведениям документы).</w:t>
      </w:r>
    </w:p>
    <w:p w:rsidR="00760B78" w:rsidRDefault="002B547B">
      <w:pPr>
        <w:widowControl w:val="0"/>
        <w:spacing w:after="0" w:line="240" w:lineRule="auto"/>
        <w:ind w:firstLine="540"/>
        <w:jc w:val="both"/>
        <w:rPr>
          <w:rFonts w:ascii="Times New Roman" w:eastAsiaTheme="minorEastAsia" w:hAnsi="Times New Roman" w:cs="Times New Roman"/>
          <w:sz w:val="28"/>
          <w:szCs w:val="28"/>
        </w:rPr>
      </w:pPr>
      <w:bookmarkStart w:id="3" w:name="P54"/>
      <w:bookmarkEnd w:id="3"/>
      <w:r>
        <w:rPr>
          <w:rFonts w:ascii="Times New Roman" w:eastAsiaTheme="minorEastAsia" w:hAnsi="Times New Roman" w:cs="Times New Roman"/>
          <w:sz w:val="28"/>
          <w:szCs w:val="28"/>
          <w:lang w:eastAsia="ru-RU"/>
        </w:rPr>
        <w:t xml:space="preserve">5. Сведения формируются главным администратором доходов от возврата остатков на основании полученных от Управления Федерального казначейства по Новосибирской области (далее - УФК по НСО) выписок по лицевым счетам главных администраторов доходов от возврата остатков, а также уведомлений по расчетам между бюджетами (код формы по </w:t>
      </w:r>
      <w:hyperlink r:id="rId10" w:tgtFrame="ОК 011-93. Общероссийский классификатор управленческой документации">
        <w:r>
          <w:rPr>
            <w:rFonts w:ascii="Times New Roman" w:eastAsiaTheme="minorEastAsia" w:hAnsi="Times New Roman" w:cs="Times New Roman"/>
            <w:sz w:val="28"/>
            <w:szCs w:val="28"/>
            <w:lang w:eastAsia="ru-RU"/>
          </w:rPr>
          <w:t>ОКУД</w:t>
        </w:r>
      </w:hyperlink>
      <w:r>
        <w:rPr>
          <w:rFonts w:ascii="Times New Roman" w:eastAsiaTheme="minorEastAsia" w:hAnsi="Times New Roman" w:cs="Times New Roman"/>
          <w:sz w:val="28"/>
          <w:szCs w:val="28"/>
          <w:lang w:eastAsia="ru-RU"/>
        </w:rPr>
        <w:t xml:space="preserve"> - 0504817) и представляются в финансовый орган Ордынского района Новосибирской области (далее-финансовый орган).</w:t>
      </w:r>
    </w:p>
    <w:p w:rsidR="00760B78" w:rsidRDefault="002B547B">
      <w:pPr>
        <w:widowControl w:val="0"/>
        <w:spacing w:after="0" w:line="240" w:lineRule="auto"/>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6. Финансовый орган в течение 5 рабочих дней со дня поступления Сведений осуществляет их проверку на предмет соответствия информации, отраженной в прилагаемых к Сведениям документах.</w:t>
      </w:r>
    </w:p>
    <w:p w:rsidR="00760B78" w:rsidRDefault="002B547B">
      <w:pPr>
        <w:widowControl w:val="0"/>
        <w:spacing w:after="0" w:line="240" w:lineRule="auto"/>
        <w:ind w:firstLine="54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7. При выявлении несоответствий между Сведениями и информацией, отраженной в прилагаемых к Сведениям документах, финансовый орган возвращает Сведения и указанные документы главному администратору доходов от возврата остатков с указанием выявленных несоответствий.</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8. В случае отсутствия замечаний к направленным Сведениям финансовый орган подготавливает в Электронном бюджете решение о взыскании неиспользованных остатков целевых средств (далее - Решение о взыскании) по форме согласно приложению к Общим требованиям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утвержденным приказом Министерства финансов Российской Федерации от 13.04.2020 № 68н "Об утверждении Общих требований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межбюджетных трансфертов бюджетам государственных внебюджетных фондов, и Порядка взыскания неиспользованных остатков межбюджетных трансфертов, предоставленных из федерального бюджета" (далее - Приказ Минфина России № 68н).</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9. Решение о взыскании принимается финансовым органом в течение 30 рабочих дней со дня, следующего за днем истечения сроков, установленных </w:t>
      </w:r>
      <w:hyperlink w:anchor="P52" w:tgtFrame="3. Не использованные по состоянию на 1 января текущего финансового года остатки целевых средств подлежат возврату в областной бюджет органами местного самоуправления Новосибирской области (органами управления фондами), за которыми в соответствии с муницип">
        <w:r>
          <w:rPr>
            <w:rFonts w:ascii="Times New Roman" w:eastAsiaTheme="minorEastAsia" w:hAnsi="Times New Roman" w:cs="Times New Roman"/>
            <w:sz w:val="28"/>
            <w:szCs w:val="28"/>
            <w:lang w:eastAsia="ru-RU"/>
          </w:rPr>
          <w:t>пунктом 3</w:t>
        </w:r>
      </w:hyperlink>
      <w:r>
        <w:rPr>
          <w:rFonts w:ascii="Times New Roman" w:eastAsiaTheme="minorEastAsia" w:hAnsi="Times New Roman" w:cs="Times New Roman"/>
          <w:sz w:val="28"/>
          <w:szCs w:val="28"/>
          <w:lang w:eastAsia="ru-RU"/>
        </w:rPr>
        <w:t xml:space="preserve"> настоящего Порядка, и подписывается электронной подписью руководителя финансового органа или уполномоченного им лица.</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10. Не позднее одного рабочего дня со дня его подписания Решение о взыскании направляется:</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1) финансовому органу (администрации) муниципального образования Ордынского района Новосибирской области (органу местного самоуправления), из бюджета которого взыскиваются неиспользованные остатки целевых средств;</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 соответствующим главным администраторам доходов от возврата остатков;</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lastRenderedPageBreak/>
        <w:t>3) УФК по НСО.</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 xml:space="preserve">11. Взыскание неиспользованных остатков целевых средств с администраторов доходов по возврату остатков, указанных в Решении о взыскании, осуществляется УФК по НСО в соответствии с </w:t>
      </w:r>
      <w:hyperlink r:id="rId11" w:tgtFrame="Приказ Минфина России от 13.04.2020 N 66н (ред. от 29.06.2022)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w:r>
          <w:rPr>
            <w:rFonts w:ascii="Times New Roman" w:eastAsiaTheme="minorEastAsia" w:hAnsi="Times New Roman" w:cs="Times New Roman"/>
            <w:sz w:val="28"/>
            <w:szCs w:val="28"/>
            <w:lang w:eastAsia="ru-RU"/>
          </w:rPr>
          <w:t>Порядком</w:t>
        </w:r>
      </w:hyperlink>
      <w:r>
        <w:rPr>
          <w:rFonts w:ascii="Times New Roman" w:eastAsiaTheme="minorEastAsia" w:hAnsi="Times New Roman" w:cs="Times New Roman"/>
          <w:sz w:val="28"/>
          <w:szCs w:val="28"/>
          <w:lang w:eastAsia="ru-RU"/>
        </w:rPr>
        <w:t xml:space="preserve">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утвержденным приказом Министерства финансов Российской Федерации от 13.04.2020 № 66н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 на основании распоряжения о совершении казначейских платежей, предусматривающего возврат средств из бюджета бюджетной системы Российской Федерации (далее - Распоряжение на возврат), оформленного в соответствии с </w:t>
      </w:r>
      <w:hyperlink r:id="rId12" w:tgtFrame="Приказ Казначейства России от 14.05.2020 N 21н (ред. от 28.12.2022) О Порядке казначейского обслуживания">
        <w:r>
          <w:rPr>
            <w:rFonts w:ascii="Times New Roman" w:eastAsiaTheme="minorEastAsia" w:hAnsi="Times New Roman" w:cs="Times New Roman"/>
            <w:sz w:val="28"/>
            <w:szCs w:val="28"/>
            <w:lang w:eastAsia="ru-RU"/>
          </w:rPr>
          <w:t>Порядком</w:t>
        </w:r>
      </w:hyperlink>
      <w:r>
        <w:rPr>
          <w:rFonts w:ascii="Times New Roman" w:eastAsiaTheme="minorEastAsia" w:hAnsi="Times New Roman" w:cs="Times New Roman"/>
          <w:sz w:val="28"/>
          <w:szCs w:val="28"/>
          <w:lang w:eastAsia="ru-RU"/>
        </w:rPr>
        <w:t xml:space="preserve"> казначейского обслуживания, утвержденным приказом Федерального казначейства от 14.05.2020 № 21н "О Порядке казначейского обслуживания".</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12. Возврат соответствующим администраторам доходов по возврату остатков осуществляется главными администраторами доходов от возврата остатков, в пределах, отраженных на их лицевых счетах главного администратора доходов районного бюджета сумм соответствующих доходов от возврата неиспользованных остатков целевых средств на основании оформленных ими Распоряжений на возврат (с указанием информации, позволяющей определить целевые средства, по которым производится возврат неиспользованных остатков):</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1) сумм остатков целевых средств, излишне полученных в соответствии с настоящим Порядком;</w:t>
      </w:r>
    </w:p>
    <w:p w:rsidR="00760B78" w:rsidRDefault="002B547B">
      <w:pPr>
        <w:widowControl w:val="0"/>
        <w:spacing w:after="0" w:line="240" w:lineRule="auto"/>
        <w:ind w:firstLine="539"/>
        <w:contextualSpacing/>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2) сумм остатков целевых средств (за исключением остатков целевых средств, источником финансового обеспечения которых являлись средства, представленные из федерального бюджета), которые могут быть использованы на те же цели при подтверждении потребности в них в соответствии с решениями главных администраторов доходов от возврата остатков, направленными главными администраторами доходов от возврата остатков соответствующим администраторам доходов по возврату остатков.</w:t>
      </w:r>
    </w:p>
    <w:p w:rsidR="00760B78" w:rsidRDefault="002B547B">
      <w:pPr>
        <w:widowControl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13. Возврат неиспользованных остатков целевых средств, взысканных в доход районного бюджета, а также их поступление в доход районного бюджета осуществляется по кодам классификации доходов бюджетов для отражения возвратов остатков субсидий, субвенций и иных межбюджетных трансфертов, имеющих целевое назначение, прошлых лет, для отражения доходов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p w:rsidR="00760B78" w:rsidRDefault="00760B78">
      <w:pPr>
        <w:widowControl w:val="0"/>
        <w:spacing w:after="0" w:line="240" w:lineRule="auto"/>
        <w:ind w:firstLine="540"/>
        <w:jc w:val="both"/>
        <w:rPr>
          <w:rFonts w:ascii="Times New Roman" w:eastAsiaTheme="minorEastAsia" w:hAnsi="Times New Roman" w:cs="Times New Roman"/>
          <w:sz w:val="28"/>
          <w:szCs w:val="28"/>
        </w:rPr>
      </w:pPr>
    </w:p>
    <w:p w:rsidR="00760B78" w:rsidRDefault="00760B78">
      <w:pPr>
        <w:widowControl w:val="0"/>
        <w:spacing w:after="0" w:line="240" w:lineRule="auto"/>
        <w:jc w:val="right"/>
        <w:outlineLvl w:val="1"/>
        <w:rPr>
          <w:rFonts w:ascii="Times New Roman" w:eastAsiaTheme="minorEastAsia" w:hAnsi="Times New Roman" w:cs="Times New Roman"/>
          <w:sz w:val="28"/>
          <w:szCs w:val="28"/>
          <w:lang w:eastAsia="ru-RU"/>
        </w:rPr>
      </w:pPr>
    </w:p>
    <w:p w:rsidR="00760B78" w:rsidRDefault="00760B78">
      <w:pPr>
        <w:widowControl w:val="0"/>
        <w:spacing w:after="0" w:line="240" w:lineRule="auto"/>
        <w:jc w:val="right"/>
        <w:outlineLvl w:val="1"/>
        <w:rPr>
          <w:rFonts w:ascii="Times New Roman" w:eastAsiaTheme="minorEastAsia" w:hAnsi="Times New Roman" w:cs="Times New Roman"/>
          <w:sz w:val="28"/>
          <w:szCs w:val="28"/>
          <w:lang w:eastAsia="ru-RU"/>
        </w:rPr>
      </w:pPr>
    </w:p>
    <w:p w:rsidR="00760B78" w:rsidRDefault="00760B78">
      <w:pPr>
        <w:widowControl w:val="0"/>
        <w:spacing w:after="0" w:line="240" w:lineRule="auto"/>
        <w:jc w:val="right"/>
        <w:outlineLvl w:val="1"/>
        <w:rPr>
          <w:rFonts w:ascii="Times New Roman" w:eastAsiaTheme="minorEastAsia" w:hAnsi="Times New Roman" w:cs="Times New Roman"/>
          <w:sz w:val="28"/>
          <w:szCs w:val="28"/>
          <w:lang w:eastAsia="ru-RU"/>
        </w:rPr>
      </w:pPr>
    </w:p>
    <w:p w:rsidR="00760B78" w:rsidRDefault="002B547B">
      <w:pPr>
        <w:widowControl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760B78" w:rsidRDefault="002B547B">
      <w:pPr>
        <w:widowControl w:val="0"/>
        <w:spacing w:after="0" w:line="240" w:lineRule="auto"/>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760B78" w:rsidRDefault="00760B78">
      <w:pPr>
        <w:widowControl w:val="0"/>
        <w:spacing w:after="0" w:line="240" w:lineRule="auto"/>
        <w:jc w:val="right"/>
        <w:outlineLvl w:val="1"/>
        <w:rPr>
          <w:rFonts w:ascii="Times New Roman" w:eastAsiaTheme="minorEastAsia" w:hAnsi="Times New Roman" w:cs="Times New Roman"/>
          <w:sz w:val="28"/>
          <w:szCs w:val="28"/>
          <w:lang w:eastAsia="ru-RU"/>
        </w:rPr>
      </w:pPr>
    </w:p>
    <w:p w:rsidR="00760B78" w:rsidRDefault="002B547B">
      <w:pPr>
        <w:widowControl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p>
    <w:p w:rsidR="002B547B" w:rsidRDefault="002B547B">
      <w:pPr>
        <w:widowControl w:val="0"/>
        <w:spacing w:after="0" w:line="240" w:lineRule="auto"/>
        <w:jc w:val="right"/>
        <w:outlineLvl w:val="1"/>
        <w:rPr>
          <w:rFonts w:ascii="Times New Roman" w:eastAsiaTheme="minorEastAsia" w:hAnsi="Times New Roman" w:cs="Times New Roman"/>
          <w:sz w:val="28"/>
          <w:szCs w:val="28"/>
          <w:lang w:eastAsia="ru-RU"/>
        </w:rPr>
      </w:pPr>
    </w:p>
    <w:p w:rsidR="00760B78" w:rsidRDefault="002B547B">
      <w:pPr>
        <w:widowControl w:val="0"/>
        <w:spacing w:after="0" w:line="240" w:lineRule="auto"/>
        <w:jc w:val="right"/>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w:t>
      </w:r>
    </w:p>
    <w:p w:rsidR="00760B78" w:rsidRDefault="002B547B">
      <w:pPr>
        <w:widowControl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Порядку</w:t>
      </w:r>
    </w:p>
    <w:p w:rsidR="00760B78" w:rsidRDefault="002B547B">
      <w:pPr>
        <w:widowControl w:val="0"/>
        <w:spacing w:after="0" w:line="240" w:lineRule="auto"/>
        <w:ind w:left="28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взыскания в доход бюджета </w:t>
      </w:r>
    </w:p>
    <w:p w:rsidR="00760B78" w:rsidRDefault="002B547B">
      <w:pPr>
        <w:widowControl w:val="0"/>
        <w:spacing w:after="0" w:line="240" w:lineRule="auto"/>
        <w:ind w:left="28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Ордынского района Новосибирской области</w:t>
      </w:r>
    </w:p>
    <w:p w:rsidR="00760B78" w:rsidRDefault="002B547B">
      <w:pPr>
        <w:widowControl w:val="0"/>
        <w:spacing w:after="0" w:line="240" w:lineRule="auto"/>
        <w:ind w:left="28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неиспользованных остатков межбюджетных</w:t>
      </w:r>
    </w:p>
    <w:p w:rsidR="00760B78" w:rsidRDefault="002B547B">
      <w:pPr>
        <w:widowControl w:val="0"/>
        <w:spacing w:after="0" w:line="240" w:lineRule="auto"/>
        <w:ind w:left="28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трансфертов, полученных в форме </w:t>
      </w:r>
    </w:p>
    <w:p w:rsidR="00760B78" w:rsidRDefault="002B547B">
      <w:pPr>
        <w:widowControl w:val="0"/>
        <w:spacing w:after="0" w:line="240" w:lineRule="auto"/>
        <w:ind w:left="284"/>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субсидий, субвенций и иных межбюджетных </w:t>
      </w:r>
    </w:p>
    <w:p w:rsidR="00760B78" w:rsidRDefault="002B547B">
      <w:pPr>
        <w:widowControl w:val="0"/>
        <w:spacing w:after="0" w:line="240" w:lineRule="auto"/>
        <w:ind w:left="284"/>
        <w:jc w:val="right"/>
        <w:rPr>
          <w:rFonts w:ascii="Arial" w:hAnsi="Arial" w:cs="Arial"/>
          <w:b/>
          <w:bCs/>
          <w:sz w:val="20"/>
          <w:szCs w:val="20"/>
        </w:rPr>
      </w:pPr>
      <w:r>
        <w:rPr>
          <w:rFonts w:ascii="Times New Roman" w:eastAsia="Times New Roman" w:hAnsi="Times New Roman" w:cs="Times New Roman"/>
          <w:color w:val="000000"/>
          <w:sz w:val="28"/>
          <w:szCs w:val="28"/>
          <w:lang w:eastAsia="ru-RU"/>
        </w:rPr>
        <w:t>трансфертов, имеющих целевое назначение</w:t>
      </w:r>
    </w:p>
    <w:p w:rsidR="00760B78" w:rsidRDefault="00760B78">
      <w:pPr>
        <w:widowControl w:val="0"/>
        <w:spacing w:after="0" w:line="240" w:lineRule="auto"/>
        <w:ind w:firstLine="540"/>
        <w:jc w:val="both"/>
        <w:rPr>
          <w:rFonts w:ascii="Times New Roman" w:eastAsiaTheme="minorEastAsia" w:hAnsi="Times New Roman" w:cs="Times New Roman"/>
          <w:sz w:val="28"/>
          <w:szCs w:val="28"/>
          <w:lang w:eastAsia="ru-RU"/>
        </w:rPr>
      </w:pPr>
    </w:p>
    <w:p w:rsidR="00760B78" w:rsidRDefault="002B547B">
      <w:pPr>
        <w:widowControl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Форма</w:t>
      </w:r>
    </w:p>
    <w:p w:rsidR="00760B78" w:rsidRDefault="00760B78">
      <w:pPr>
        <w:widowControl w:val="0"/>
        <w:spacing w:after="0" w:line="240" w:lineRule="auto"/>
        <w:ind w:firstLine="540"/>
        <w:jc w:val="both"/>
        <w:rPr>
          <w:rFonts w:ascii="Times New Roman" w:eastAsiaTheme="minorEastAsia" w:hAnsi="Times New Roman" w:cs="Times New Roman"/>
          <w:sz w:val="28"/>
          <w:szCs w:val="28"/>
          <w:lang w:eastAsia="ru-RU"/>
        </w:rPr>
      </w:pPr>
    </w:p>
    <w:p w:rsidR="00760B78" w:rsidRDefault="002B547B">
      <w:pPr>
        <w:widowControl w:val="0"/>
        <w:spacing w:after="0" w:line="240" w:lineRule="auto"/>
        <w:jc w:val="center"/>
        <w:rPr>
          <w:rFonts w:ascii="Times New Roman" w:eastAsiaTheme="minorEastAsia" w:hAnsi="Times New Roman" w:cs="Times New Roman"/>
          <w:sz w:val="28"/>
          <w:szCs w:val="28"/>
          <w:lang w:eastAsia="ru-RU"/>
        </w:rPr>
      </w:pPr>
      <w:bookmarkStart w:id="4" w:name="P85"/>
      <w:bookmarkEnd w:id="4"/>
      <w:r>
        <w:rPr>
          <w:rFonts w:ascii="Times New Roman" w:eastAsiaTheme="minorEastAsia" w:hAnsi="Times New Roman" w:cs="Times New Roman"/>
          <w:sz w:val="28"/>
          <w:szCs w:val="28"/>
          <w:lang w:eastAsia="ru-RU"/>
        </w:rPr>
        <w:t>СВЕДЕНИЯ</w:t>
      </w:r>
    </w:p>
    <w:p w:rsidR="00760B78" w:rsidRDefault="002B547B">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 неиспользованных по состоянию на 1 января текущего</w:t>
      </w:r>
    </w:p>
    <w:p w:rsidR="00760B78" w:rsidRDefault="002B547B">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финансового года остатках межбюджетных трансфертов,</w:t>
      </w:r>
    </w:p>
    <w:p w:rsidR="00760B78" w:rsidRDefault="002B547B">
      <w:pPr>
        <w:widowControl w:val="0"/>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полученных из районного бюджета Ордынского района Новосибирской области бюджетами муниципальных образований Ордынского района Новосибирской области в форме субвенций, субсидий, иных межбюджетных трансфертов, имеющих целевое назначение</w:t>
      </w:r>
    </w:p>
    <w:p w:rsidR="00760B78" w:rsidRDefault="00760B78">
      <w:pPr>
        <w:widowControl w:val="0"/>
        <w:spacing w:after="0" w:line="240" w:lineRule="auto"/>
        <w:jc w:val="center"/>
        <w:rPr>
          <w:rFonts w:ascii="Times New Roman" w:eastAsiaTheme="minorEastAsia" w:hAnsi="Times New Roman" w:cs="Times New Roman"/>
          <w:sz w:val="28"/>
          <w:szCs w:val="28"/>
          <w:lang w:eastAsia="ru-RU"/>
        </w:rPr>
      </w:pPr>
    </w:p>
    <w:p w:rsidR="00760B78" w:rsidRDefault="00760B78">
      <w:pPr>
        <w:widowControl w:val="0"/>
        <w:spacing w:after="0" w:line="240" w:lineRule="auto"/>
        <w:ind w:firstLine="540"/>
        <w:jc w:val="both"/>
        <w:rPr>
          <w:rFonts w:ascii="Times New Roman" w:eastAsiaTheme="minorEastAsia" w:hAnsi="Times New Roman" w:cs="Times New Roman"/>
          <w:sz w:val="24"/>
          <w:szCs w:val="24"/>
          <w:lang w:eastAsia="ru-RU"/>
        </w:rPr>
      </w:pPr>
    </w:p>
    <w:tbl>
      <w:tblPr>
        <w:tblW w:w="9033" w:type="dxa"/>
        <w:tblLayout w:type="fixed"/>
        <w:tblCellMar>
          <w:top w:w="102" w:type="dxa"/>
          <w:left w:w="62" w:type="dxa"/>
          <w:bottom w:w="102" w:type="dxa"/>
          <w:right w:w="62" w:type="dxa"/>
        </w:tblCellMar>
        <w:tblLook w:val="0000" w:firstRow="0" w:lastRow="0" w:firstColumn="0" w:lastColumn="0" w:noHBand="0" w:noVBand="0"/>
      </w:tblPr>
      <w:tblGrid>
        <w:gridCol w:w="3401"/>
        <w:gridCol w:w="2494"/>
        <w:gridCol w:w="511"/>
        <w:gridCol w:w="1322"/>
        <w:gridCol w:w="1305"/>
      </w:tblGrid>
      <w:tr w:rsidR="00760B78">
        <w:tc>
          <w:tcPr>
            <w:tcW w:w="7728" w:type="dxa"/>
            <w:gridSpan w:val="4"/>
            <w:tcBorders>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305"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КОДЫ</w:t>
            </w:r>
          </w:p>
        </w:tc>
      </w:tr>
      <w:tr w:rsidR="00760B78">
        <w:tc>
          <w:tcPr>
            <w:tcW w:w="3401" w:type="dxa"/>
          </w:tcPr>
          <w:p w:rsidR="00760B78" w:rsidRDefault="002B547B">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Наименование главного администратора доходов районного бюджета Ордынского </w:t>
            </w:r>
            <w:proofErr w:type="gramStart"/>
            <w:r>
              <w:rPr>
                <w:rFonts w:ascii="Times New Roman" w:eastAsiaTheme="minorEastAsia" w:hAnsi="Times New Roman" w:cs="Times New Roman"/>
                <w:sz w:val="24"/>
                <w:szCs w:val="24"/>
                <w:lang w:eastAsia="ru-RU"/>
              </w:rPr>
              <w:t>района  Новосибирской</w:t>
            </w:r>
            <w:proofErr w:type="gramEnd"/>
            <w:r>
              <w:rPr>
                <w:rFonts w:ascii="Times New Roman" w:eastAsiaTheme="minorEastAsia" w:hAnsi="Times New Roman" w:cs="Times New Roman"/>
                <w:sz w:val="24"/>
                <w:szCs w:val="24"/>
                <w:lang w:eastAsia="ru-RU"/>
              </w:rPr>
              <w:t xml:space="preserve"> области от возврата неиспользованных остатков целевых средств</w:t>
            </w:r>
          </w:p>
        </w:tc>
        <w:tc>
          <w:tcPr>
            <w:tcW w:w="2494" w:type="dxa"/>
            <w:tcBorders>
              <w:bottom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33" w:type="dxa"/>
            <w:gridSpan w:val="2"/>
            <w:tcBorders>
              <w:right w:val="single" w:sz="4" w:space="0" w:color="000000"/>
            </w:tcBorders>
          </w:tcPr>
          <w:p w:rsidR="00760B78" w:rsidRDefault="002B547B">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код главы по бюджетной классификации Российской Федерации</w:t>
            </w:r>
          </w:p>
        </w:tc>
        <w:tc>
          <w:tcPr>
            <w:tcW w:w="1305"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3401"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2494" w:type="dxa"/>
            <w:tcBorders>
              <w:top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511"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322" w:type="dxa"/>
            <w:tcBorders>
              <w:right w:val="single" w:sz="4" w:space="0" w:color="000000"/>
            </w:tcBorders>
          </w:tcPr>
          <w:p w:rsidR="00760B78" w:rsidRDefault="002B547B">
            <w:pPr>
              <w:widowControl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ИНН</w:t>
            </w:r>
          </w:p>
        </w:tc>
        <w:tc>
          <w:tcPr>
            <w:tcW w:w="1305"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5895" w:type="dxa"/>
            <w:gridSpan w:val="2"/>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511"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322" w:type="dxa"/>
            <w:tcBorders>
              <w:right w:val="single" w:sz="4" w:space="0" w:color="000000"/>
            </w:tcBorders>
          </w:tcPr>
          <w:p w:rsidR="00760B78" w:rsidRDefault="002B547B">
            <w:pPr>
              <w:widowControl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КПП</w:t>
            </w:r>
          </w:p>
        </w:tc>
        <w:tc>
          <w:tcPr>
            <w:tcW w:w="1305"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3401" w:type="dxa"/>
            <w:tcBorders>
              <w:bottom w:val="single" w:sz="4" w:space="0" w:color="000000"/>
            </w:tcBorders>
          </w:tcPr>
          <w:p w:rsidR="00760B78" w:rsidRDefault="002B547B">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Единица измерения: руб.</w:t>
            </w:r>
          </w:p>
        </w:tc>
        <w:tc>
          <w:tcPr>
            <w:tcW w:w="2494" w:type="dxa"/>
            <w:tcBorders>
              <w:bottom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511" w:type="dxa"/>
            <w:tcBorders>
              <w:bottom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322" w:type="dxa"/>
            <w:tcBorders>
              <w:bottom w:val="single" w:sz="4" w:space="0" w:color="000000"/>
              <w:right w:val="single" w:sz="4" w:space="0" w:color="000000"/>
            </w:tcBorders>
          </w:tcPr>
          <w:p w:rsidR="00760B78" w:rsidRDefault="002B547B">
            <w:pPr>
              <w:widowControl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 ОКЕИ</w:t>
            </w:r>
          </w:p>
        </w:tc>
        <w:tc>
          <w:tcPr>
            <w:tcW w:w="1305" w:type="dxa"/>
            <w:tcBorders>
              <w:top w:val="single" w:sz="4" w:space="0" w:color="000000"/>
              <w:left w:val="single" w:sz="4" w:space="0" w:color="000000"/>
              <w:bottom w:val="single" w:sz="4" w:space="0" w:color="000000"/>
              <w:right w:val="single" w:sz="4" w:space="0" w:color="000000"/>
            </w:tcBorders>
          </w:tcPr>
          <w:p w:rsidR="00760B78" w:rsidRDefault="00990917">
            <w:pPr>
              <w:widowControl w:val="0"/>
              <w:spacing w:after="0" w:line="240" w:lineRule="auto"/>
              <w:jc w:val="center"/>
              <w:rPr>
                <w:rFonts w:ascii="Times New Roman" w:eastAsiaTheme="minorEastAsia" w:hAnsi="Times New Roman" w:cs="Times New Roman"/>
                <w:sz w:val="24"/>
                <w:szCs w:val="24"/>
                <w:lang w:eastAsia="ru-RU"/>
              </w:rPr>
            </w:pPr>
            <w:hyperlink r:id="rId13" w:tgtFrame="ОК 015-94 (МК 002-97). Общероссийский классификатор единиц измерения">
              <w:r w:rsidR="002B547B">
                <w:rPr>
                  <w:rFonts w:ascii="Times New Roman" w:eastAsiaTheme="minorEastAsia" w:hAnsi="Times New Roman" w:cs="Times New Roman"/>
                  <w:sz w:val="24"/>
                  <w:szCs w:val="24"/>
                  <w:lang w:eastAsia="ru-RU"/>
                </w:rPr>
                <w:t>383</w:t>
              </w:r>
            </w:hyperlink>
          </w:p>
        </w:tc>
      </w:tr>
    </w:tbl>
    <w:p w:rsidR="00760B78" w:rsidRDefault="00760B78">
      <w:pPr>
        <w:widowControl w:val="0"/>
        <w:spacing w:after="0" w:line="240" w:lineRule="auto"/>
        <w:ind w:firstLine="540"/>
        <w:jc w:val="both"/>
        <w:rPr>
          <w:rFonts w:ascii="Times New Roman" w:eastAsiaTheme="minorEastAsia" w:hAnsi="Times New Roman" w:cs="Times New Roman"/>
          <w:sz w:val="24"/>
          <w:szCs w:val="24"/>
          <w:lang w:eastAsia="ru-RU"/>
        </w:rPr>
      </w:pPr>
    </w:p>
    <w:tbl>
      <w:tblPr>
        <w:tblW w:w="9039" w:type="dxa"/>
        <w:tblLayout w:type="fixed"/>
        <w:tblCellMar>
          <w:top w:w="102" w:type="dxa"/>
          <w:left w:w="62" w:type="dxa"/>
          <w:bottom w:w="102" w:type="dxa"/>
          <w:right w:w="62" w:type="dxa"/>
        </w:tblCellMar>
        <w:tblLook w:val="0000" w:firstRow="0" w:lastRow="0" w:firstColumn="0" w:lastColumn="0" w:noHBand="0" w:noVBand="0"/>
      </w:tblPr>
      <w:tblGrid>
        <w:gridCol w:w="1871"/>
        <w:gridCol w:w="1812"/>
        <w:gridCol w:w="1812"/>
        <w:gridCol w:w="1814"/>
        <w:gridCol w:w="1730"/>
      </w:tblGrid>
      <w:tr w:rsidR="00760B78">
        <w:tc>
          <w:tcPr>
            <w:tcW w:w="1871" w:type="dxa"/>
            <w:vMerge w:val="restart"/>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Наименование муниципального образования, из бюджета которого взыскиваются неиспользованные остатки целевых средств</w:t>
            </w:r>
          </w:p>
        </w:tc>
        <w:tc>
          <w:tcPr>
            <w:tcW w:w="5438" w:type="dxa"/>
            <w:gridSpan w:val="3"/>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Код по бюджетной классификации Российской Федерации</w:t>
            </w:r>
          </w:p>
        </w:tc>
        <w:tc>
          <w:tcPr>
            <w:tcW w:w="1730" w:type="dxa"/>
            <w:vMerge w:val="restart"/>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Сумма неиспользованных остатков целевых средств, подлежащая взысканию в доход районного бюджета Ордынского района Новосибирской области</w:t>
            </w:r>
          </w:p>
        </w:tc>
      </w:tr>
      <w:tr w:rsidR="00760B78">
        <w:tc>
          <w:tcPr>
            <w:tcW w:w="1871" w:type="dxa"/>
            <w:vMerge/>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доходов районного бюджета Ордынского района Новосибирской области</w:t>
            </w:r>
          </w:p>
        </w:tc>
        <w:tc>
          <w:tcPr>
            <w:tcW w:w="1812"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целевой статьи расходов по предоставленным целевым средствам</w:t>
            </w:r>
          </w:p>
        </w:tc>
        <w:tc>
          <w:tcPr>
            <w:tcW w:w="1814"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доходов бюджета, из которого взыскиваются неиспользованные остатки целевых средств</w:t>
            </w:r>
          </w:p>
        </w:tc>
        <w:tc>
          <w:tcPr>
            <w:tcW w:w="1730" w:type="dxa"/>
            <w:vMerge/>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1871"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812"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812"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814"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730" w:type="dxa"/>
            <w:tcBorders>
              <w:top w:val="single" w:sz="4" w:space="0" w:color="000000"/>
              <w:left w:val="single" w:sz="4" w:space="0" w:color="000000"/>
              <w:bottom w:val="single" w:sz="4" w:space="0" w:color="000000"/>
              <w:right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760B78">
        <w:tc>
          <w:tcPr>
            <w:tcW w:w="1871"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730"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1871"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730"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1871"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2"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814"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730" w:type="dxa"/>
            <w:tcBorders>
              <w:top w:val="single" w:sz="4" w:space="0" w:color="000000"/>
              <w:left w:val="single" w:sz="4" w:space="0" w:color="000000"/>
              <w:bottom w:val="single" w:sz="4" w:space="0" w:color="000000"/>
              <w:right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bl>
    <w:p w:rsidR="00760B78" w:rsidRDefault="00760B78">
      <w:pPr>
        <w:widowControl w:val="0"/>
        <w:spacing w:after="0" w:line="240" w:lineRule="auto"/>
        <w:ind w:firstLine="540"/>
        <w:jc w:val="both"/>
        <w:rPr>
          <w:rFonts w:ascii="Times New Roman" w:eastAsiaTheme="minorEastAsia" w:hAnsi="Times New Roman" w:cs="Times New Roman"/>
          <w:sz w:val="24"/>
          <w:szCs w:val="24"/>
          <w:lang w:eastAsia="ru-RU"/>
        </w:rPr>
      </w:pPr>
    </w:p>
    <w:tbl>
      <w:tblPr>
        <w:tblW w:w="9020" w:type="dxa"/>
        <w:tblLayout w:type="fixed"/>
        <w:tblCellMar>
          <w:top w:w="102" w:type="dxa"/>
          <w:left w:w="62" w:type="dxa"/>
          <w:bottom w:w="102" w:type="dxa"/>
          <w:right w:w="62" w:type="dxa"/>
        </w:tblCellMar>
        <w:tblLook w:val="0000" w:firstRow="0" w:lastRow="0" w:firstColumn="0" w:lastColumn="0" w:noHBand="0" w:noVBand="0"/>
      </w:tblPr>
      <w:tblGrid>
        <w:gridCol w:w="4253"/>
        <w:gridCol w:w="1592"/>
        <w:gridCol w:w="341"/>
        <w:gridCol w:w="2834"/>
      </w:tblGrid>
      <w:tr w:rsidR="00760B78">
        <w:tc>
          <w:tcPr>
            <w:tcW w:w="4252" w:type="dxa"/>
          </w:tcPr>
          <w:p w:rsidR="00760B78" w:rsidRDefault="002B547B">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Руководитель</w:t>
            </w:r>
          </w:p>
          <w:p w:rsidR="00760B78" w:rsidRDefault="002B547B">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(уполномоченное лицо)</w:t>
            </w:r>
          </w:p>
        </w:tc>
        <w:tc>
          <w:tcPr>
            <w:tcW w:w="1592" w:type="dxa"/>
            <w:tcBorders>
              <w:bottom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341"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2834" w:type="dxa"/>
            <w:tcBorders>
              <w:bottom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4252"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592" w:type="dxa"/>
            <w:tcBorders>
              <w:top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(подпись)</w:t>
            </w:r>
          </w:p>
        </w:tc>
        <w:tc>
          <w:tcPr>
            <w:tcW w:w="341"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2834" w:type="dxa"/>
            <w:tcBorders>
              <w:top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инициалы)</w:t>
            </w:r>
          </w:p>
        </w:tc>
      </w:tr>
      <w:tr w:rsidR="00760B78">
        <w:tc>
          <w:tcPr>
            <w:tcW w:w="4252" w:type="dxa"/>
          </w:tcPr>
          <w:p w:rsidR="00760B78" w:rsidRDefault="002B547B">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Ответственный</w:t>
            </w:r>
          </w:p>
          <w:p w:rsidR="00760B78" w:rsidRDefault="002B547B">
            <w:pPr>
              <w:widowControl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исполнитель</w:t>
            </w:r>
          </w:p>
        </w:tc>
        <w:tc>
          <w:tcPr>
            <w:tcW w:w="1592" w:type="dxa"/>
            <w:tcBorders>
              <w:bottom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341"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2834" w:type="dxa"/>
            <w:tcBorders>
              <w:bottom w:val="single" w:sz="4" w:space="0" w:color="000000"/>
            </w:tcBorders>
          </w:tcPr>
          <w:p w:rsidR="00760B78" w:rsidRDefault="00760B78">
            <w:pPr>
              <w:widowControl w:val="0"/>
              <w:spacing w:after="0" w:line="240" w:lineRule="auto"/>
              <w:rPr>
                <w:rFonts w:ascii="Times New Roman" w:eastAsiaTheme="minorEastAsia" w:hAnsi="Times New Roman" w:cs="Times New Roman"/>
                <w:sz w:val="24"/>
                <w:szCs w:val="24"/>
                <w:lang w:eastAsia="ru-RU"/>
              </w:rPr>
            </w:pPr>
          </w:p>
        </w:tc>
      </w:tr>
      <w:tr w:rsidR="00760B78">
        <w:tc>
          <w:tcPr>
            <w:tcW w:w="4252"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1592" w:type="dxa"/>
            <w:tcBorders>
              <w:top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(подпись)</w:t>
            </w:r>
          </w:p>
        </w:tc>
        <w:tc>
          <w:tcPr>
            <w:tcW w:w="341" w:type="dxa"/>
          </w:tcPr>
          <w:p w:rsidR="00760B78" w:rsidRDefault="00760B78">
            <w:pPr>
              <w:widowControl w:val="0"/>
              <w:spacing w:after="0" w:line="240" w:lineRule="auto"/>
              <w:rPr>
                <w:rFonts w:ascii="Times New Roman" w:eastAsiaTheme="minorEastAsia" w:hAnsi="Times New Roman" w:cs="Times New Roman"/>
                <w:sz w:val="24"/>
                <w:szCs w:val="24"/>
                <w:lang w:eastAsia="ru-RU"/>
              </w:rPr>
            </w:pPr>
          </w:p>
        </w:tc>
        <w:tc>
          <w:tcPr>
            <w:tcW w:w="2834" w:type="dxa"/>
            <w:tcBorders>
              <w:top w:val="single" w:sz="4" w:space="0" w:color="000000"/>
            </w:tcBorders>
          </w:tcPr>
          <w:p w:rsidR="00760B78" w:rsidRDefault="002B547B">
            <w:pPr>
              <w:widowControl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(фамилия, инициалы)</w:t>
            </w:r>
          </w:p>
        </w:tc>
      </w:tr>
    </w:tbl>
    <w:p w:rsidR="00760B78" w:rsidRDefault="00760B78">
      <w:pPr>
        <w:widowControl w:val="0"/>
        <w:spacing w:after="0" w:line="240" w:lineRule="auto"/>
        <w:ind w:firstLine="540"/>
        <w:jc w:val="both"/>
        <w:rPr>
          <w:rFonts w:ascii="Times New Roman" w:eastAsiaTheme="minorEastAsia" w:hAnsi="Times New Roman" w:cs="Times New Roman"/>
          <w:sz w:val="24"/>
          <w:szCs w:val="24"/>
          <w:lang w:eastAsia="ru-RU"/>
        </w:rPr>
      </w:pPr>
    </w:p>
    <w:p w:rsidR="00760B78" w:rsidRDefault="00760B78">
      <w:pPr>
        <w:widowControl w:val="0"/>
        <w:spacing w:after="0" w:line="240" w:lineRule="auto"/>
        <w:ind w:firstLine="540"/>
        <w:jc w:val="both"/>
        <w:rPr>
          <w:rFonts w:ascii="Times New Roman" w:eastAsiaTheme="minorEastAsia" w:hAnsi="Times New Roman" w:cs="Times New Roman"/>
          <w:sz w:val="24"/>
          <w:szCs w:val="24"/>
          <w:lang w:eastAsia="ru-RU"/>
        </w:rPr>
      </w:pPr>
    </w:p>
    <w:p w:rsidR="00760B78" w:rsidRDefault="00760B78">
      <w:pPr>
        <w:widowControl w:val="0"/>
        <w:pBdr>
          <w:bottom w:val="single" w:sz="6" w:space="0" w:color="000000"/>
        </w:pBdr>
        <w:spacing w:before="100" w:after="100" w:line="240" w:lineRule="auto"/>
        <w:jc w:val="both"/>
        <w:rPr>
          <w:rFonts w:ascii="Times New Roman" w:eastAsiaTheme="minorEastAsia" w:hAnsi="Times New Roman" w:cs="Times New Roman"/>
          <w:sz w:val="28"/>
          <w:szCs w:val="28"/>
          <w:lang w:eastAsia="ru-RU"/>
        </w:rPr>
      </w:pPr>
    </w:p>
    <w:p w:rsidR="00760B78" w:rsidRDefault="00760B78">
      <w:pPr>
        <w:spacing w:line="240" w:lineRule="auto"/>
        <w:rPr>
          <w:rFonts w:ascii="Times New Roman" w:hAnsi="Times New Roman" w:cs="Times New Roman"/>
          <w:sz w:val="28"/>
          <w:szCs w:val="28"/>
        </w:rPr>
      </w:pPr>
    </w:p>
    <w:sectPr w:rsidR="00760B78" w:rsidSect="002B547B">
      <w:pgSz w:w="11906" w:h="16838"/>
      <w:pgMar w:top="709" w:right="567" w:bottom="426"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78"/>
    <w:rsid w:val="002B547B"/>
    <w:rsid w:val="00760B78"/>
    <w:rsid w:val="00990917"/>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6DE38-4D59-4E74-81A0-8A3319BC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4" w:lineRule="auto"/>
    </w:pPr>
  </w:style>
  <w:style w:type="paragraph" w:styleId="1">
    <w:name w:val="heading 1"/>
    <w:basedOn w:val="a"/>
    <w:next w:val="a"/>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uiPriority w:val="9"/>
    <w:qFormat/>
    <w:rPr>
      <w:rFonts w:ascii="Arial" w:eastAsia="Arial" w:hAnsi="Arial" w:cs="Arial"/>
      <w:sz w:val="40"/>
      <w:szCs w:val="40"/>
    </w:rPr>
  </w:style>
  <w:style w:type="character" w:customStyle="1" w:styleId="20">
    <w:name w:val="Заголовок 2 Знак"/>
    <w:basedOn w:val="a0"/>
    <w:link w:val="20"/>
    <w:uiPriority w:val="9"/>
    <w:qFormat/>
    <w:rPr>
      <w:rFonts w:ascii="Arial" w:eastAsia="Arial" w:hAnsi="Arial" w:cs="Arial"/>
      <w:sz w:val="34"/>
    </w:rPr>
  </w:style>
  <w:style w:type="character" w:customStyle="1" w:styleId="30">
    <w:name w:val="Заголовок 3 Знак"/>
    <w:basedOn w:val="a0"/>
    <w:link w:val="30"/>
    <w:uiPriority w:val="9"/>
    <w:qFormat/>
    <w:rPr>
      <w:rFonts w:ascii="Arial" w:eastAsia="Arial" w:hAnsi="Arial" w:cs="Arial"/>
      <w:sz w:val="30"/>
      <w:szCs w:val="30"/>
    </w:rPr>
  </w:style>
  <w:style w:type="character" w:customStyle="1" w:styleId="40">
    <w:name w:val="Заголовок 4 Знак"/>
    <w:basedOn w:val="a0"/>
    <w:link w:val="40"/>
    <w:uiPriority w:val="9"/>
    <w:qFormat/>
    <w:rPr>
      <w:rFonts w:ascii="Arial" w:eastAsia="Arial" w:hAnsi="Arial" w:cs="Arial"/>
      <w:b/>
      <w:bCs/>
      <w:sz w:val="26"/>
      <w:szCs w:val="26"/>
    </w:rPr>
  </w:style>
  <w:style w:type="character" w:customStyle="1" w:styleId="50">
    <w:name w:val="Заголовок 5 Знак"/>
    <w:basedOn w:val="a0"/>
    <w:link w:val="50"/>
    <w:uiPriority w:val="9"/>
    <w:qFormat/>
    <w:rPr>
      <w:rFonts w:ascii="Arial" w:eastAsia="Arial" w:hAnsi="Arial" w:cs="Arial"/>
      <w:b/>
      <w:bCs/>
      <w:sz w:val="24"/>
      <w:szCs w:val="24"/>
    </w:rPr>
  </w:style>
  <w:style w:type="character" w:customStyle="1" w:styleId="60">
    <w:name w:val="Заголовок 6 Знак"/>
    <w:basedOn w:val="a0"/>
    <w:link w:val="60"/>
    <w:uiPriority w:val="9"/>
    <w:qFormat/>
    <w:rPr>
      <w:rFonts w:ascii="Arial" w:eastAsia="Arial" w:hAnsi="Arial" w:cs="Arial"/>
      <w:b/>
      <w:bCs/>
      <w:sz w:val="22"/>
      <w:szCs w:val="22"/>
    </w:rPr>
  </w:style>
  <w:style w:type="character" w:customStyle="1" w:styleId="70">
    <w:name w:val="Заголовок 7 Знак"/>
    <w:basedOn w:val="a0"/>
    <w:link w:val="70"/>
    <w:uiPriority w:val="9"/>
    <w:qFormat/>
    <w:rPr>
      <w:rFonts w:ascii="Arial" w:eastAsia="Arial" w:hAnsi="Arial" w:cs="Arial"/>
      <w:b/>
      <w:bCs/>
      <w:i/>
      <w:iCs/>
      <w:sz w:val="22"/>
      <w:szCs w:val="22"/>
    </w:rPr>
  </w:style>
  <w:style w:type="character" w:customStyle="1" w:styleId="80">
    <w:name w:val="Заголовок 8 Знак"/>
    <w:basedOn w:val="a0"/>
    <w:link w:val="80"/>
    <w:uiPriority w:val="9"/>
    <w:qFormat/>
    <w:rPr>
      <w:rFonts w:ascii="Arial" w:eastAsia="Arial" w:hAnsi="Arial" w:cs="Arial"/>
      <w:i/>
      <w:iCs/>
      <w:sz w:val="22"/>
      <w:szCs w:val="22"/>
    </w:rPr>
  </w:style>
  <w:style w:type="character" w:customStyle="1" w:styleId="90">
    <w:name w:val="Заголовок 9 Знак"/>
    <w:basedOn w:val="a0"/>
    <w:link w:val="90"/>
    <w:uiPriority w:val="9"/>
    <w:qFormat/>
    <w:rPr>
      <w:rFonts w:ascii="Arial" w:eastAsia="Arial" w:hAnsi="Arial" w:cs="Arial"/>
      <w:i/>
      <w:iCs/>
      <w:sz w:val="21"/>
      <w:szCs w:val="21"/>
    </w:rPr>
  </w:style>
  <w:style w:type="character" w:customStyle="1" w:styleId="a3">
    <w:name w:val="Название Знак"/>
    <w:basedOn w:val="a0"/>
    <w:uiPriority w:val="10"/>
    <w:qFormat/>
    <w:rPr>
      <w:sz w:val="48"/>
      <w:szCs w:val="48"/>
    </w:rPr>
  </w:style>
  <w:style w:type="character" w:customStyle="1" w:styleId="a4">
    <w:name w:val="Подзаголовок Знак"/>
    <w:basedOn w:val="a0"/>
    <w:uiPriority w:val="11"/>
    <w:qFormat/>
    <w:rPr>
      <w:sz w:val="24"/>
      <w:szCs w:val="24"/>
    </w:rPr>
  </w:style>
  <w:style w:type="character" w:customStyle="1" w:styleId="21">
    <w:name w:val="Цитата 2 Знак"/>
    <w:link w:val="21"/>
    <w:uiPriority w:val="29"/>
    <w:qFormat/>
    <w:rPr>
      <w:i/>
    </w:rPr>
  </w:style>
  <w:style w:type="character" w:customStyle="1" w:styleId="a5">
    <w:name w:val="Выделенная цитата Знак"/>
    <w:uiPriority w:val="30"/>
    <w:qFormat/>
    <w:rPr>
      <w:i/>
    </w:rPr>
  </w:style>
  <w:style w:type="character" w:customStyle="1" w:styleId="a6">
    <w:name w:val="Верхний колонтитул Знак"/>
    <w:basedOn w:val="a0"/>
    <w:uiPriority w:val="99"/>
    <w:qFormat/>
  </w:style>
  <w:style w:type="character" w:customStyle="1" w:styleId="FooterChar">
    <w:name w:val="Footer Char"/>
    <w:basedOn w:val="a0"/>
    <w:uiPriority w:val="99"/>
    <w:qFormat/>
  </w:style>
  <w:style w:type="character" w:customStyle="1" w:styleId="a7">
    <w:name w:val="Нижний колонтитул Знак"/>
    <w:uiPriority w:val="99"/>
    <w:qFormat/>
  </w:style>
  <w:style w:type="character" w:customStyle="1" w:styleId="a8">
    <w:name w:val="Текст сноски Знак"/>
    <w:uiPriority w:val="99"/>
    <w:qFormat/>
    <w:rPr>
      <w:sz w:val="18"/>
    </w:rPr>
  </w:style>
  <w:style w:type="character" w:customStyle="1" w:styleId="FootnoteCharacters">
    <w:name w:val="Footnote Characters"/>
    <w:basedOn w:val="a0"/>
    <w:uiPriority w:val="99"/>
    <w:unhideWhenUsed/>
    <w:qFormat/>
    <w:rPr>
      <w:vertAlign w:val="superscript"/>
    </w:rPr>
  </w:style>
  <w:style w:type="character" w:customStyle="1" w:styleId="FootnoteAnchor">
    <w:name w:val="Footnote Anchor"/>
    <w:rPr>
      <w:vertAlign w:val="superscript"/>
    </w:rPr>
  </w:style>
  <w:style w:type="character" w:customStyle="1" w:styleId="a9">
    <w:name w:val="Текст концевой сноски Знак"/>
    <w:uiPriority w:val="99"/>
    <w:qFormat/>
    <w:rPr>
      <w:sz w:val="20"/>
    </w:rPr>
  </w:style>
  <w:style w:type="character" w:customStyle="1" w:styleId="EndnoteCharacters">
    <w:name w:val="Endnote Characters"/>
    <w:basedOn w:val="a0"/>
    <w:uiPriority w:val="99"/>
    <w:semiHidden/>
    <w:unhideWhenUsed/>
    <w:qFormat/>
    <w:rPr>
      <w:vertAlign w:val="superscript"/>
    </w:rPr>
  </w:style>
  <w:style w:type="character" w:customStyle="1" w:styleId="EndnoteAnchor">
    <w:name w:val="Endnote Anchor"/>
    <w:rPr>
      <w:vertAlign w:val="superscript"/>
    </w:rPr>
  </w:style>
  <w:style w:type="character" w:styleId="aa">
    <w:name w:val="Hyperlink"/>
    <w:basedOn w:val="a0"/>
    <w:uiPriority w:val="99"/>
    <w:unhideWhenUsed/>
    <w:rPr>
      <w:color w:val="0563C1" w:themeColor="hyperlink"/>
      <w:u w:val="single"/>
    </w:rPr>
  </w:style>
  <w:style w:type="character" w:customStyle="1" w:styleId="ab">
    <w:name w:val="Текст выноски Знак"/>
    <w:basedOn w:val="a0"/>
    <w:uiPriority w:val="99"/>
    <w:semiHidden/>
    <w:qFormat/>
    <w:rPr>
      <w:rFonts w:ascii="Segoe UI" w:hAnsi="Segoe UI" w:cs="Segoe UI"/>
      <w:sz w:val="18"/>
      <w:szCs w:val="18"/>
    </w:rPr>
  </w:style>
  <w:style w:type="paragraph" w:customStyle="1" w:styleId="Heading">
    <w:name w:val="Heading"/>
    <w:basedOn w:val="a"/>
    <w:next w:val="ac"/>
    <w:qFormat/>
    <w:pPr>
      <w:keepNext/>
      <w:spacing w:before="240" w:after="120"/>
    </w:pPr>
    <w:rPr>
      <w:rFonts w:ascii="Liberation Sans" w:eastAsia="Microsoft YaHei" w:hAnsi="Liberation Sans" w:cs="Mangal"/>
      <w:sz w:val="28"/>
      <w:szCs w:val="28"/>
    </w:rPr>
  </w:style>
  <w:style w:type="paragraph" w:styleId="ac">
    <w:name w:val="Body Text"/>
    <w:basedOn w:val="a"/>
    <w:pPr>
      <w:spacing w:after="140" w:line="276" w:lineRule="auto"/>
    </w:pPr>
  </w:style>
  <w:style w:type="paragraph" w:styleId="ad">
    <w:name w:val="List"/>
    <w:basedOn w:val="ac"/>
    <w:rPr>
      <w:rFonts w:cs="Mangal"/>
    </w:rPr>
  </w:style>
  <w:style w:type="paragraph" w:styleId="ae">
    <w:name w:val="caption"/>
    <w:basedOn w:val="a"/>
    <w:next w:val="a"/>
    <w:uiPriority w:val="35"/>
    <w:semiHidden/>
    <w:unhideWhenUsed/>
    <w:qFormat/>
    <w:pPr>
      <w:spacing w:line="276" w:lineRule="auto"/>
    </w:pPr>
    <w:rPr>
      <w:b/>
      <w:bCs/>
      <w:color w:val="5B9BD5" w:themeColor="accent1"/>
      <w:sz w:val="18"/>
      <w:szCs w:val="18"/>
    </w:rPr>
  </w:style>
  <w:style w:type="paragraph" w:customStyle="1" w:styleId="Index">
    <w:name w:val="Index"/>
    <w:basedOn w:val="a"/>
    <w:qFormat/>
    <w:pPr>
      <w:suppressLineNumbers/>
    </w:pPr>
    <w:rPr>
      <w:rFonts w:cs="Mangal"/>
    </w:rPr>
  </w:style>
  <w:style w:type="paragraph" w:styleId="af">
    <w:name w:val="List Paragraph"/>
    <w:basedOn w:val="a"/>
    <w:uiPriority w:val="34"/>
    <w:qFormat/>
    <w:pPr>
      <w:ind w:left="720"/>
      <w:contextualSpacing/>
    </w:pPr>
  </w:style>
  <w:style w:type="paragraph" w:styleId="af0">
    <w:name w:val="No Spacing"/>
    <w:uiPriority w:val="1"/>
    <w:qFormat/>
  </w:style>
  <w:style w:type="paragraph" w:styleId="af1">
    <w:name w:val="Title"/>
    <w:basedOn w:val="a"/>
    <w:next w:val="a"/>
    <w:uiPriority w:val="10"/>
    <w:qFormat/>
    <w:pPr>
      <w:spacing w:before="300" w:after="200"/>
      <w:contextualSpacing/>
    </w:pPr>
    <w:rPr>
      <w:sz w:val="48"/>
      <w:szCs w:val="48"/>
    </w:rPr>
  </w:style>
  <w:style w:type="paragraph" w:styleId="af2">
    <w:name w:val="Subtitle"/>
    <w:basedOn w:val="a"/>
    <w:next w:val="a"/>
    <w:uiPriority w:val="11"/>
    <w:qFormat/>
    <w:pPr>
      <w:spacing w:before="200" w:after="200"/>
    </w:pPr>
    <w:rPr>
      <w:sz w:val="24"/>
      <w:szCs w:val="24"/>
    </w:rPr>
  </w:style>
  <w:style w:type="paragraph" w:styleId="22">
    <w:name w:val="Quote"/>
    <w:basedOn w:val="a"/>
    <w:next w:val="a"/>
    <w:uiPriority w:val="29"/>
    <w:qFormat/>
    <w:pPr>
      <w:ind w:left="720" w:right="720"/>
    </w:pPr>
    <w:rPr>
      <w:i/>
    </w:rPr>
  </w:style>
  <w:style w:type="paragraph" w:styleId="af3">
    <w:name w:val="Intense Quote"/>
    <w:basedOn w:val="a"/>
    <w:next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HeaderandFooter">
    <w:name w:val="Header and Footer"/>
    <w:basedOn w:val="a"/>
    <w:qFormat/>
  </w:style>
  <w:style w:type="paragraph" w:styleId="af4">
    <w:name w:val="header"/>
    <w:basedOn w:val="a"/>
    <w:uiPriority w:val="99"/>
    <w:unhideWhenUsed/>
    <w:pPr>
      <w:tabs>
        <w:tab w:val="center" w:pos="7143"/>
        <w:tab w:val="right" w:pos="14287"/>
      </w:tabs>
      <w:spacing w:after="0" w:line="240" w:lineRule="auto"/>
    </w:pPr>
  </w:style>
  <w:style w:type="paragraph" w:styleId="af5">
    <w:name w:val="footer"/>
    <w:basedOn w:val="a"/>
    <w:uiPriority w:val="99"/>
    <w:unhideWhenUsed/>
    <w:pPr>
      <w:tabs>
        <w:tab w:val="center" w:pos="7143"/>
        <w:tab w:val="right" w:pos="14287"/>
      </w:tabs>
      <w:spacing w:after="0" w:line="240" w:lineRule="auto"/>
    </w:pPr>
  </w:style>
  <w:style w:type="paragraph" w:styleId="af6">
    <w:name w:val="footnote text"/>
    <w:basedOn w:val="a"/>
    <w:uiPriority w:val="99"/>
    <w:semiHidden/>
    <w:unhideWhenUsed/>
    <w:pPr>
      <w:spacing w:after="40" w:line="240" w:lineRule="auto"/>
    </w:pPr>
    <w:rPr>
      <w:sz w:val="18"/>
    </w:rPr>
  </w:style>
  <w:style w:type="paragraph" w:styleId="af7">
    <w:name w:val="endnote text"/>
    <w:basedOn w:val="a"/>
    <w:uiPriority w:val="99"/>
    <w:semiHidden/>
    <w:unhideWhenUsed/>
    <w:pPr>
      <w:spacing w:after="0" w:line="240" w:lineRule="auto"/>
    </w:pPr>
    <w:rPr>
      <w:sz w:val="20"/>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index heading"/>
    <w:basedOn w:val="Heading"/>
  </w:style>
  <w:style w:type="paragraph" w:styleId="af9">
    <w:name w:val="TOC Heading"/>
    <w:uiPriority w:val="39"/>
    <w:unhideWhenUsed/>
    <w:pPr>
      <w:spacing w:after="160" w:line="259" w:lineRule="auto"/>
    </w:pPr>
  </w:style>
  <w:style w:type="paragraph" w:styleId="afa">
    <w:name w:val="table of figures"/>
    <w:basedOn w:val="a"/>
    <w:next w:val="a"/>
    <w:uiPriority w:val="99"/>
    <w:unhideWhenUsed/>
    <w:qFormat/>
    <w:pPr>
      <w:spacing w:after="0"/>
    </w:pPr>
  </w:style>
  <w:style w:type="paragraph" w:customStyle="1" w:styleId="ConsPlusNormal">
    <w:name w:val="ConsPlusNormal"/>
    <w:qFormat/>
    <w:pPr>
      <w:widowControl w:val="0"/>
    </w:pPr>
    <w:rPr>
      <w:rFonts w:ascii="Arial" w:eastAsiaTheme="minorEastAsia" w:hAnsi="Arial" w:cs="Arial"/>
      <w:sz w:val="20"/>
      <w:szCs w:val="20"/>
      <w:lang w:eastAsia="ru-RU"/>
    </w:rPr>
  </w:style>
  <w:style w:type="paragraph" w:customStyle="1" w:styleId="ConsPlusNonformat">
    <w:name w:val="ConsPlusNonformat"/>
    <w:uiPriority w:val="99"/>
    <w:qFormat/>
    <w:pPr>
      <w:widowControl w:val="0"/>
    </w:pPr>
    <w:rPr>
      <w:rFonts w:ascii="Courier New" w:eastAsiaTheme="minorEastAsia" w:hAnsi="Courier New" w:cs="Courier New"/>
      <w:sz w:val="20"/>
      <w:szCs w:val="20"/>
      <w:lang w:eastAsia="ru-RU"/>
    </w:rPr>
  </w:style>
  <w:style w:type="paragraph" w:styleId="afb">
    <w:name w:val="Balloon Text"/>
    <w:basedOn w:val="a"/>
    <w:uiPriority w:val="99"/>
    <w:semiHidden/>
    <w:unhideWhenUsed/>
    <w:qFormat/>
    <w:pPr>
      <w:spacing w:after="0" w:line="240" w:lineRule="auto"/>
    </w:pPr>
    <w:rPr>
      <w:rFonts w:ascii="Segoe UI" w:hAnsi="Segoe UI" w:cs="Segoe UI"/>
      <w:sz w:val="18"/>
      <w:szCs w:val="18"/>
    </w:rPr>
  </w:style>
  <w:style w:type="table" w:styleId="afc">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2">
    <w:name w:val="Plain Table 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styleId="24">
    <w:name w:val="Plain Table 2"/>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42">
    <w:name w:val="Plain Table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52">
    <w:name w:val="Plain Table 5"/>
    <w:basedOn w:val="a1"/>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styleId="-1">
    <w:name w:val="Grid Table 1 Light"/>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5B9BD5"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4472C4"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2">
    <w:name w:val="Grid Table 2"/>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1"/>
          <w:right w:val="none" w:sz="4" w:space="0" w:color="000000"/>
        </w:tcBorders>
        <w:shd w:val="clear" w:color="FFFFFF" w:fill="auto"/>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3">
    <w:name w:val="Grid Table 3"/>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1" w:themeFillTint="34"/>
      </w:tcPr>
    </w:tblStylePr>
    <w:tblStylePr w:type="band1Horz">
      <w:rPr>
        <w:color w:val="404040"/>
        <w:sz w:val="22"/>
      </w:rPr>
      <w:tblPr/>
      <w:tcPr>
        <w:shd w:val="clear" w:color="DDEAF6" w:fill="DDEAF6"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4">
    <w:name w:val="Grid Table 4"/>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b/>
        <w:color w:val="FFFFFF"/>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shd w:val="clear" w:color="68A2D8" w:fill="68A2D8" w:themeFill="accent1" w:themeFillTint="EA"/>
      </w:tcPr>
    </w:tblStylePr>
    <w:tblStylePr w:type="lastRow">
      <w:rPr>
        <w:b/>
        <w:color w:val="404040"/>
      </w:rPr>
      <w:tblPr/>
      <w:tcPr>
        <w:tcBorders>
          <w:top w:val="single" w:sz="4" w:space="0" w:color="5B9BD5"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EEBF6" w:fill="DEEBF6" w:themeFill="accent1" w:themeFillTint="32"/>
      </w:tcPr>
    </w:tblStylePr>
    <w:tblStylePr w:type="band1Horz">
      <w:rPr>
        <w:color w:val="404040"/>
        <w:sz w:val="22"/>
      </w:rPr>
      <w:tblPr/>
      <w:tcPr>
        <w:shd w:val="clear" w:color="DEEBF6" w:fill="DEEBF6"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5" w:themeFillTint="34"/>
      </w:tcPr>
    </w:tblStylePr>
    <w:tblStylePr w:type="band1Horz">
      <w:rPr>
        <w:color w:val="404040"/>
        <w:sz w:val="22"/>
      </w:rPr>
      <w:tblPr/>
      <w:tcPr>
        <w:shd w:val="clear" w:color="D8E2F3" w:fill="D8E2F3"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styleId="-5">
    <w:name w:val="Grid Table 5 Dark"/>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FFFFFF"/>
        <w:sz w:val="22"/>
      </w:rPr>
      <w:tblPr/>
      <w:tcPr>
        <w:tcBorders>
          <w:top w:val="single" w:sz="4" w:space="0" w:color="FFFFFF" w:themeColor="light1"/>
        </w:tcBorders>
        <w:shd w:val="clear" w:color="5B9BD5" w:fill="5B9BD5" w:themeFill="accent1"/>
      </w:tcPr>
    </w:tblStylePr>
    <w:tblStylePr w:type="firstCol">
      <w:rPr>
        <w:b/>
        <w:color w:val="FFFFFF"/>
        <w:sz w:val="22"/>
      </w:rPr>
      <w:tblPr/>
      <w:tcPr>
        <w:shd w:val="clear" w:color="5B9BD5" w:fill="5B9BD5" w:themeFill="accent1"/>
      </w:tcPr>
    </w:tblStylePr>
    <w:tblStylePr w:type="lastCol">
      <w:rPr>
        <w:b/>
        <w:color w:val="FFFFFF"/>
        <w:sz w:val="22"/>
      </w:rPr>
      <w:tblPr/>
      <w:tcPr>
        <w:shd w:val="clear" w:color="5B9BD5" w:fill="5B9BD5" w:themeFill="accent1"/>
      </w:tcPr>
    </w:tblStylePr>
    <w:tblStylePr w:type="band1Vert">
      <w:tblPr/>
      <w:tcPr>
        <w:shd w:val="clear" w:color="B3D0EB" w:fill="B3D0EB" w:themeFill="accent1" w:themeFillTint="75"/>
      </w:tcPr>
    </w:tblStylePr>
    <w:tblStylePr w:type="band1Horz">
      <w:tblPr/>
      <w:tcPr>
        <w:shd w:val="clear" w:color="B3D0EB" w:fill="B3D0EB"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FFFFFF"/>
        <w:sz w:val="22"/>
      </w:rPr>
      <w:tblPr/>
      <w:tcPr>
        <w:tcBorders>
          <w:top w:val="single" w:sz="4" w:space="0" w:color="FFFFFF" w:themeColor="light1"/>
        </w:tcBorders>
        <w:shd w:val="clear" w:color="4472C4" w:fill="4472C4" w:themeFill="accent5"/>
      </w:tcPr>
    </w:tblStylePr>
    <w:tblStylePr w:type="firstCol">
      <w:rPr>
        <w:b/>
        <w:color w:val="FFFFFF"/>
        <w:sz w:val="22"/>
      </w:rPr>
      <w:tblPr/>
      <w:tcPr>
        <w:shd w:val="clear" w:color="4472C4" w:fill="4472C4" w:themeFill="accent5"/>
      </w:tcPr>
    </w:tblStylePr>
    <w:tblStylePr w:type="lastCol">
      <w:rPr>
        <w:b/>
        <w:color w:val="FFFFFF"/>
        <w:sz w:val="22"/>
      </w:rPr>
      <w:tblPr/>
      <w:tcPr>
        <w:shd w:val="clear" w:color="4472C4" w:fill="4472C4" w:themeFill="accent5"/>
      </w:tcPr>
    </w:tblStylePr>
    <w:tblStylePr w:type="band1Vert">
      <w:tblPr/>
      <w:tcPr>
        <w:shd w:val="clear" w:color="A9BEE4" w:fill="A9BEE4" w:themeFill="accent5" w:themeFillTint="75"/>
      </w:tcPr>
    </w:tblStylePr>
    <w:tblStylePr w:type="band1Horz">
      <w:tblPr/>
      <w:tcPr>
        <w:shd w:val="clear" w:color="A9BEE4" w:fill="A9BEE4"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styleId="-6">
    <w:name w:val="Grid Table 6 Colorful"/>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5B9BD5" w:themeColor="accent1"/>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fill="E1EFD8" w:themeFill="accent6" w:themeFillTint="34"/>
      </w:tcPr>
    </w:tblStylePr>
    <w:tblStylePr w:type="band1Horz">
      <w:rPr>
        <w:color w:val="254175" w:themeColor="accent5" w:themeShade="95"/>
        <w:sz w:val="22"/>
      </w:rPr>
      <w:tblPr/>
      <w:tcPr>
        <w:shd w:val="clear" w:color="E1EFD8" w:fill="E1EFD8" w:themeFill="accent6" w:themeFillTint="34"/>
      </w:tcPr>
    </w:tblStylePr>
    <w:tblStylePr w:type="band2Horz">
      <w:rPr>
        <w:color w:val="254175" w:themeColor="accent5" w:themeShade="95"/>
        <w:sz w:val="22"/>
      </w:rPr>
    </w:tblStylePr>
  </w:style>
  <w:style w:type="table" w:styleId="-7">
    <w:name w:val="Grid Table 7 Colorful"/>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b/>
        <w:color w:val="ACCCEA" w:themeColor="accent1" w:themeTint="80"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CCCEA" w:themeColor="accent1" w:themeTint="80"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ACCCEA" w:themeColor="accent1" w:themeTint="80"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DEAF6" w:fill="DDEAF6" w:themeFill="accent1" w:themeFillTint="34"/>
      </w:tcPr>
    </w:tblStylePr>
    <w:tblStylePr w:type="band1Horz">
      <w:rPr>
        <w:color w:val="ACCCEA" w:themeColor="accent1" w:themeTint="80" w:themeShade="95"/>
        <w:sz w:val="22"/>
      </w:rPr>
      <w:tblPr/>
      <w:tcPr>
        <w:shd w:val="clear" w:color="DDEAF6" w:fill="DDEAF6" w:themeFill="accent1" w:themeFillTint="34"/>
      </w:tcPr>
    </w:tblStylePr>
    <w:tblStylePr w:type="band2Horz">
      <w:rPr>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b/>
        <w:color w:val="254175" w:themeColor="accent5"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b/>
        <w:color w:val="254175" w:themeColor="accent5"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54175" w:themeColor="accent5"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254175" w:themeColor="accent5"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D8E2F3" w:fill="D8E2F3" w:themeFill="accent5" w:themeFillTint="34"/>
      </w:tcPr>
    </w:tblStylePr>
    <w:tblStylePr w:type="band1Horz">
      <w:rPr>
        <w:color w:val="254175" w:themeColor="accent5" w:themeShade="95"/>
        <w:sz w:val="22"/>
      </w:rPr>
      <w:tblPr/>
      <w:tcPr>
        <w:shd w:val="clear" w:color="D8E2F3" w:fill="D8E2F3" w:themeFill="accent5" w:themeFillTint="34"/>
      </w:tcPr>
    </w:tblStylePr>
    <w:tblStylePr w:type="band2Horz">
      <w:rPr>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b/>
        <w:color w:val="416429" w:themeColor="accent6"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416429" w:themeColor="accent6"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styleId="-10">
    <w:name w:val="List Table 1 Light"/>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1" w:themeFillTint="40"/>
      </w:tcPr>
    </w:tblStylePr>
    <w:tblStylePr w:type="band1Horz">
      <w:tblPr/>
      <w:tcPr>
        <w:shd w:val="clear" w:color="D5E5F4" w:fill="D5E5F4"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5" w:themeFillTint="40"/>
      </w:tcPr>
    </w:tblStylePr>
    <w:tblStylePr w:type="band1Horz">
      <w:tblPr/>
      <w:tcPr>
        <w:shd w:val="clear" w:color="CFDBF0" w:fill="CFDBF0"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styleId="-20">
    <w:name w:val="List Table 2"/>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lastRow">
      <w:rPr>
        <w:b/>
        <w:color w:val="404040"/>
        <w:sz w:val="22"/>
      </w:rPr>
      <w:tblPr/>
      <w:tcPr>
        <w:tcBorders>
          <w:top w:val="single" w:sz="4" w:space="0" w:color="5B9BD5" w:themeColor="accent1"/>
          <w:left w:val="none" w:sz="4" w:space="0" w:color="000000"/>
          <w:bottom w:val="single" w:sz="4" w:space="0" w:color="5B9BD5"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lastRow">
      <w:rPr>
        <w:b/>
        <w:color w:val="404040"/>
        <w:sz w:val="22"/>
      </w:rPr>
      <w:tblPr/>
      <w:tcPr>
        <w:tcBorders>
          <w:top w:val="single" w:sz="4" w:space="0" w:color="4472C4" w:themeColor="accent5"/>
          <w:left w:val="none" w:sz="4" w:space="0" w:color="000000"/>
          <w:bottom w:val="single" w:sz="4" w:space="0" w:color="4472C4"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30">
    <w:name w:val="List Table 3"/>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1"/>
          <w:right w:val="single" w:sz="4" w:space="0" w:color="5B9BD5" w:themeColor="accent1"/>
        </w:tcBorders>
      </w:tcPr>
    </w:tblStylePr>
    <w:tblStylePr w:type="band1Horz">
      <w:rPr>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b/>
        <w:color w:val="FFFFFF"/>
        <w:sz w:val="22"/>
      </w:rPr>
      <w:tblPr/>
      <w:tcPr>
        <w:shd w:val="clear" w:color="8DA9DB"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5"/>
          <w:right w:val="single" w:sz="4" w:space="0" w:color="4472C4" w:themeColor="accent5"/>
        </w:tcBorders>
      </w:tcPr>
    </w:tblStylePr>
    <w:tblStylePr w:type="band1Horz">
      <w:rPr>
        <w:color w:val="404040"/>
        <w:sz w:val="22"/>
      </w:rPr>
      <w:tblPr/>
      <w:tcPr>
        <w:tcBorders>
          <w:top w:val="single" w:sz="4" w:space="0" w:color="4472C4" w:themeColor="accent5"/>
          <w:bottom w:val="single" w:sz="4" w:space="0" w:color="4472C4"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40">
    <w:name w:val="List Table 4"/>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b/>
        <w:color w:val="FFFFFF"/>
        <w:sz w:val="22"/>
      </w:rPr>
      <w:tblPr/>
      <w:tcPr>
        <w:shd w:val="clear" w:color="5B9BD5"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1" w:themeFillTint="40"/>
      </w:tcPr>
    </w:tblStylePr>
    <w:tblStylePr w:type="band1Horz">
      <w:rPr>
        <w:color w:val="404040"/>
        <w:sz w:val="22"/>
      </w:rPr>
      <w:tblPr/>
      <w:tcPr>
        <w:shd w:val="clear" w:color="D5E5F4" w:fill="D5E5F4"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b/>
        <w:color w:val="FFFFFF"/>
        <w:sz w:val="22"/>
      </w:rPr>
      <w:tblPr/>
      <w:tcPr>
        <w:shd w:val="clear" w:color="4472C4"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5" w:themeFillTint="40"/>
      </w:tcPr>
    </w:tblStylePr>
    <w:tblStylePr w:type="band1Horz">
      <w:rPr>
        <w:color w:val="404040"/>
        <w:sz w:val="22"/>
      </w:rPr>
      <w:tblPr/>
      <w:tcPr>
        <w:shd w:val="clear" w:color="CFDBF0" w:fill="CFDBF0"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styleId="-50">
    <w:name w:val="List Table 5 Dark"/>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fill="5B9BD5" w:themeFill="accent1"/>
      </w:tcPr>
    </w:tblStylePr>
    <w:tblStylePr w:type="band2Horz">
      <w:tblPr/>
      <w:tcPr>
        <w:tcBorders>
          <w:top w:val="single" w:sz="4" w:space="0" w:color="FFFFFF" w:themeColor="light1"/>
          <w:bottom w:val="single" w:sz="4" w:space="0" w:color="FFFFFF" w:themeColor="light1"/>
        </w:tcBorders>
        <w:shd w:val="clear" w:color="5B9BD5" w:fill="5B9BD5"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4472C4" w:themeColor="accent5"/>
          <w:bottom w:val="single" w:sz="12" w:space="0" w:color="FFFFFF" w:themeColor="light1"/>
        </w:tcBorders>
        <w:shd w:val="clear" w:color="8DA9DB" w:fill="8DA9DB"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5"/>
          <w:right w:val="single" w:sz="4" w:space="0" w:color="FFFFFF" w:themeColor="light1"/>
        </w:tcBorders>
      </w:tcPr>
    </w:tblStylePr>
    <w:tblStylePr w:type="lastCol">
      <w:tblPr/>
      <w:tcPr>
        <w:tcBorders>
          <w:left w:val="single" w:sz="4" w:space="0" w:color="FFFFFF" w:themeColor="light1"/>
          <w:right w:val="single" w:sz="32" w:space="0" w:color="4472C4" w:themeColor="accent5"/>
        </w:tcBorders>
      </w:tcPr>
    </w:tblStylePr>
    <w:tblStylePr w:type="band1Vert">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fill="8DA9DB"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styleId="-60">
    <w:name w:val="List Table 6 Colorful"/>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4472C4" w:themeColor="accent5"/>
        </w:tcBorders>
      </w:tcPr>
    </w:tblStylePr>
    <w:tblStylePr w:type="lastRow">
      <w:rPr>
        <w:b/>
        <w:color w:val="8DA9DB" w:themeColor="accent5" w:themeTint="9A" w:themeShade="95"/>
      </w:rPr>
      <w:tblPr/>
      <w:tcPr>
        <w:tcBorders>
          <w:top w:val="single" w:sz="4" w:space="0" w:color="4472C4" w:themeColor="accent5"/>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styleId="-70">
    <w:name w:val="List Table 7 Colorful"/>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fill="D5E5F4" w:themeFill="accent1" w:themeFillTint="40"/>
      </w:tcPr>
    </w:tblStylePr>
    <w:tblStylePr w:type="band1Horz">
      <w:rPr>
        <w:color w:val="245A8D" w:themeColor="accent1" w:themeShade="95"/>
        <w:sz w:val="22"/>
      </w:rPr>
      <w:tblPr/>
      <w:tcPr>
        <w:shd w:val="clear" w:color="D5E5F4" w:fill="D5E5F4" w:themeFill="accent1" w:themeFillTint="40"/>
      </w:tcPr>
    </w:tblStylePr>
    <w:tblStylePr w:type="band2Horz">
      <w:rPr>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i/>
        <w:color w:val="F4B184" w:themeColor="accent2" w:themeTint="97" w:themeShade="95"/>
        <w:sz w:val="22"/>
      </w:rPr>
      <w:tblPr/>
      <w:tcPr>
        <w:tcBorders>
          <w:top w:val="none" w:sz="4" w:space="0" w:color="000000"/>
          <w:left w:val="none" w:sz="4" w:space="0" w:color="000000"/>
          <w:bottom w:val="single" w:sz="4" w:space="0" w:color="ED7D31" w:themeColor="accent2"/>
          <w:right w:val="none" w:sz="4"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4" w:space="0" w:color="000000"/>
          <w:left w:val="none" w:sz="4" w:space="0" w:color="000000"/>
          <w:bottom w:val="none" w:sz="4"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4" w:space="0" w:color="000000"/>
          <w:left w:val="single" w:sz="4" w:space="0" w:color="ED7D31" w:themeColor="accent2"/>
          <w:bottom w:val="none" w:sz="4" w:space="0" w:color="000000"/>
          <w:right w:val="none" w:sz="4"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i/>
        <w:color w:val="C9C9C9" w:themeColor="accent3" w:themeTint="98" w:themeShade="95"/>
        <w:sz w:val="22"/>
      </w:rPr>
      <w:tblPr/>
      <w:tcPr>
        <w:tcBorders>
          <w:top w:val="none" w:sz="4" w:space="0" w:color="000000"/>
          <w:left w:val="none" w:sz="4" w:space="0" w:color="000000"/>
          <w:bottom w:val="single" w:sz="4" w:space="0" w:color="A5A5A5" w:themeColor="accent3"/>
          <w:right w:val="none" w:sz="4"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4" w:space="0" w:color="000000"/>
          <w:left w:val="none" w:sz="4" w:space="0" w:color="000000"/>
          <w:bottom w:val="none" w:sz="4"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4" w:space="0" w:color="000000"/>
          <w:left w:val="single" w:sz="4" w:space="0" w:color="A5A5A5" w:themeColor="accent3"/>
          <w:bottom w:val="none" w:sz="4" w:space="0" w:color="000000"/>
          <w:right w:val="none" w:sz="4"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i/>
        <w:color w:val="FFD865" w:themeColor="accent4" w:themeTint="9A" w:themeShade="95"/>
        <w:sz w:val="22"/>
      </w:rPr>
      <w:tblPr/>
      <w:tcPr>
        <w:tcBorders>
          <w:top w:val="none" w:sz="4" w:space="0" w:color="000000"/>
          <w:left w:val="none" w:sz="4" w:space="0" w:color="000000"/>
          <w:bottom w:val="single" w:sz="4" w:space="0" w:color="FFC000" w:themeColor="accent4"/>
          <w:right w:val="none" w:sz="4"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4" w:space="0" w:color="000000"/>
          <w:left w:val="none" w:sz="4" w:space="0" w:color="000000"/>
          <w:bottom w:val="none" w:sz="4"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4" w:space="0" w:color="000000"/>
          <w:left w:val="single" w:sz="4" w:space="0" w:color="FFC000" w:themeColor="accent4"/>
          <w:bottom w:val="none" w:sz="4" w:space="0" w:color="000000"/>
          <w:right w:val="none" w:sz="4"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i/>
        <w:color w:val="8DA9DB" w:themeColor="accent5" w:themeTint="9A" w:themeShade="95"/>
        <w:sz w:val="22"/>
      </w:rPr>
      <w:tblPr/>
      <w:tcPr>
        <w:tcBorders>
          <w:top w:val="none" w:sz="4" w:space="0" w:color="000000"/>
          <w:left w:val="none" w:sz="4" w:space="0" w:color="000000"/>
          <w:bottom w:val="single" w:sz="4" w:space="0" w:color="4472C4" w:themeColor="accent5"/>
          <w:right w:val="none" w:sz="4" w:space="0" w:color="000000"/>
        </w:tcBorders>
        <w:shd w:val="clear" w:color="FFFFFF" w:fill="FFFFFF" w:themeFill="light1"/>
      </w:tcPr>
    </w:tblStylePr>
    <w:tblStylePr w:type="lastRow">
      <w:rPr>
        <w:i/>
        <w:color w:val="8DA9DB" w:themeColor="accent5" w:themeTint="9A" w:themeShade="95"/>
        <w:sz w:val="22"/>
      </w:rPr>
      <w:tblPr/>
      <w:tcPr>
        <w:tcBorders>
          <w:top w:val="single" w:sz="4" w:space="0" w:color="4472C4"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8DA9DB" w:themeColor="accent5" w:themeTint="9A" w:themeShade="95"/>
        <w:sz w:val="22"/>
      </w:rPr>
      <w:tblPr/>
      <w:tcPr>
        <w:tcBorders>
          <w:top w:val="none" w:sz="4" w:space="0" w:color="000000"/>
          <w:left w:val="none" w:sz="4" w:space="0" w:color="000000"/>
          <w:bottom w:val="none" w:sz="4" w:space="0" w:color="000000"/>
          <w:right w:val="single" w:sz="4" w:space="0" w:color="4472C4" w:themeColor="accent5"/>
        </w:tcBorders>
        <w:shd w:val="clear" w:color="FFFFFF" w:fill="auto"/>
      </w:tcPr>
    </w:tblStylePr>
    <w:tblStylePr w:type="lastCol">
      <w:rPr>
        <w:i/>
        <w:color w:val="8DA9DB" w:themeColor="accent5" w:themeTint="9A" w:themeShade="95"/>
        <w:sz w:val="22"/>
      </w:rPr>
      <w:tblPr/>
      <w:tcPr>
        <w:tcBorders>
          <w:top w:val="none" w:sz="4" w:space="0" w:color="000000"/>
          <w:left w:val="single" w:sz="4" w:space="0" w:color="4472C4" w:themeColor="accent5"/>
          <w:bottom w:val="none" w:sz="4" w:space="0" w:color="000000"/>
          <w:right w:val="none" w:sz="4" w:space="0" w:color="000000"/>
        </w:tcBorders>
        <w:shd w:val="clear" w:color="FFFFFF" w:fill="auto"/>
      </w:tcPr>
    </w:tblStylePr>
    <w:tblStylePr w:type="band1Vert">
      <w:tblPr/>
      <w:tcPr>
        <w:shd w:val="clear" w:color="CFDBF0" w:fill="CFDBF0" w:themeFill="accent5" w:themeFillTint="40"/>
      </w:tcPr>
    </w:tblStylePr>
    <w:tblStylePr w:type="band1Horz">
      <w:rPr>
        <w:color w:val="8DA9DB" w:themeColor="accent5" w:themeTint="9A" w:themeShade="95"/>
        <w:sz w:val="22"/>
      </w:rPr>
      <w:tblPr/>
      <w:tcPr>
        <w:shd w:val="clear" w:color="CFDBF0" w:fill="CFDBF0" w:themeFill="accent5" w:themeFillTint="40"/>
      </w:tcPr>
    </w:tblStylePr>
    <w:tblStylePr w:type="band2Horz">
      <w:rPr>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i/>
        <w:color w:val="A9D08E" w:themeColor="accent6" w:themeTint="98" w:themeShade="95"/>
        <w:sz w:val="22"/>
      </w:rPr>
      <w:tblPr/>
      <w:tcPr>
        <w:tcBorders>
          <w:top w:val="none" w:sz="4" w:space="0" w:color="000000"/>
          <w:left w:val="none" w:sz="4" w:space="0" w:color="000000"/>
          <w:bottom w:val="single" w:sz="4" w:space="0" w:color="70AD47" w:themeColor="accent6"/>
          <w:right w:val="none" w:sz="4"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4" w:space="0" w:color="000000"/>
          <w:left w:val="none" w:sz="4" w:space="0" w:color="000000"/>
          <w:bottom w:val="none" w:sz="4"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4" w:space="0" w:color="000000"/>
          <w:left w:val="single" w:sz="4" w:space="0" w:color="70AD47" w:themeColor="accent6"/>
          <w:bottom w:val="none" w:sz="4" w:space="0" w:color="000000"/>
          <w:right w:val="none" w:sz="4"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top w:w="0" w:type="dxa"/>
        <w:left w:w="108" w:type="dxa"/>
        <w:bottom w:w="0" w:type="dxa"/>
        <w:right w:w="108" w:type="dxa"/>
      </w:tblCellMar>
    </w:tblPr>
    <w:tblStylePr w:type="firstRow">
      <w:rPr>
        <w:color w:val="F2F2F2"/>
        <w:sz w:val="22"/>
      </w:rPr>
      <w:tblPr/>
      <w:tcPr>
        <w:shd w:val="clear" w:color="68A2D8" w:fill="68A2D8" w:themeFill="accent1" w:themeFillTint="EA"/>
      </w:tcPr>
    </w:tblStylePr>
    <w:tblStylePr w:type="lastRow">
      <w:rPr>
        <w:color w:val="F2F2F2"/>
        <w:sz w:val="22"/>
      </w:rPr>
      <w:tblPr/>
      <w:tcPr>
        <w:shd w:val="clear" w:color="68A2D8" w:fill="68A2D8" w:themeFill="accent1" w:themeFillTint="EA"/>
      </w:tcPr>
    </w:tblStylePr>
    <w:tblStylePr w:type="firstCol">
      <w:rPr>
        <w:color w:val="F2F2F2"/>
        <w:sz w:val="22"/>
      </w:rPr>
      <w:tblPr/>
      <w:tcPr>
        <w:shd w:val="clear" w:color="68A2D8" w:fill="68A2D8" w:themeFill="accent1" w:themeFillTint="EA"/>
      </w:tcPr>
    </w:tblStylePr>
    <w:tblStylePr w:type="lastCol">
      <w:rPr>
        <w:color w:val="F2F2F2"/>
        <w:sz w:val="22"/>
      </w:rPr>
      <w:tblPr/>
      <w:tcPr>
        <w:shd w:val="clear" w:color="68A2D8" w:fill="68A2D8" w:themeFill="accent1" w:themeFillTint="EA"/>
      </w:tcPr>
    </w:tblStylePr>
    <w:tblStylePr w:type="band1Vert">
      <w:rPr>
        <w:color w:val="404040"/>
        <w:sz w:val="22"/>
      </w:rPr>
    </w:tblStylePr>
    <w:tblStylePr w:type="band2Vert">
      <w:rPr>
        <w:color w:val="404040"/>
        <w:sz w:val="22"/>
      </w:rPr>
      <w:tblPr/>
      <w:tcPr>
        <w:shd w:val="clear" w:color="CBDFF1" w:fill="CBDFF1" w:themeFill="accent1" w:themeFillTint="50"/>
      </w:tcPr>
    </w:tblStylePr>
    <w:tblStylePr w:type="band1Horz">
      <w:rPr>
        <w:color w:val="404040"/>
        <w:sz w:val="22"/>
      </w:rPr>
    </w:tblStylePr>
    <w:tblStylePr w:type="band2Horz">
      <w:rPr>
        <w:color w:val="404040"/>
        <w:sz w:val="22"/>
      </w:rPr>
      <w:tblPr/>
      <w:tcPr>
        <w:shd w:val="clear" w:color="CBDFF1" w:fill="CBDFF1"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top w:w="0" w:type="dxa"/>
        <w:left w:w="108" w:type="dxa"/>
        <w:bottom w:w="0" w:type="dxa"/>
        <w:right w:w="108" w:type="dxa"/>
      </w:tblCellMar>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0" w:type="dxa"/>
        <w:left w:w="108" w:type="dxa"/>
        <w:bottom w:w="0" w:type="dxa"/>
        <w:right w:w="108" w:type="dxa"/>
      </w:tblCellMar>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CellMar>
        <w:top w:w="0" w:type="dxa"/>
        <w:left w:w="108" w:type="dxa"/>
        <w:bottom w:w="0" w:type="dxa"/>
        <w:right w:w="108" w:type="dxa"/>
      </w:tblCellMar>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color w:val="F2F2F2"/>
        <w:sz w:val="22"/>
      </w:rPr>
      <w:tblPr/>
      <w:tcPr>
        <w:shd w:val="clear" w:color="4472C4" w:fill="4472C4" w:themeFill="accent5"/>
      </w:tcPr>
    </w:tblStylePr>
    <w:tblStylePr w:type="lastRow">
      <w:rPr>
        <w:color w:val="F2F2F2"/>
        <w:sz w:val="22"/>
      </w:rPr>
      <w:tblPr/>
      <w:tcPr>
        <w:shd w:val="clear" w:color="4472C4" w:fill="4472C4" w:themeFill="accent5"/>
      </w:tcPr>
    </w:tblStylePr>
    <w:tblStylePr w:type="firstCol">
      <w:rPr>
        <w:color w:val="F2F2F2"/>
        <w:sz w:val="22"/>
      </w:rPr>
      <w:tblPr/>
      <w:tcPr>
        <w:shd w:val="clear" w:color="4472C4" w:fill="4472C4" w:themeFill="accent5"/>
      </w:tcPr>
    </w:tblStylePr>
    <w:tblStylePr w:type="lastCol">
      <w:rPr>
        <w:color w:val="F2F2F2"/>
        <w:sz w:val="22"/>
      </w:rPr>
      <w:tblPr/>
      <w:tcPr>
        <w:shd w:val="clear" w:color="4472C4" w:fill="4472C4" w:themeFill="accent5"/>
      </w:tcPr>
    </w:tblStylePr>
    <w:tblStylePr w:type="band1Vert">
      <w:rPr>
        <w:color w:val="404040"/>
        <w:sz w:val="22"/>
      </w:rPr>
    </w:tblStylePr>
    <w:tblStylePr w:type="band2Vert">
      <w:rPr>
        <w:color w:val="404040"/>
        <w:sz w:val="22"/>
      </w:rPr>
      <w:tblPr/>
      <w:tcPr>
        <w:shd w:val="clear" w:color="D8E2F3" w:fill="D8E2F3" w:themeFill="accent5" w:themeFillTint="34"/>
      </w:tcPr>
    </w:tblStylePr>
    <w:tblStylePr w:type="band1Horz">
      <w:rPr>
        <w:color w:val="404040"/>
        <w:sz w:val="22"/>
      </w:rPr>
    </w:tblStylePr>
    <w:tblStylePr w:type="band2Horz">
      <w:rPr>
        <w:color w:val="404040"/>
        <w:sz w:val="22"/>
      </w:rPr>
      <w:tblPr/>
      <w:tcPr>
        <w:shd w:val="clear" w:color="D8E2F3" w:fill="D8E2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color w:val="404040"/>
        <w:sz w:val="22"/>
      </w:rPr>
      <w:tblPr/>
      <w:tcPr>
        <w:tcBorders>
          <w:bottom w:val="single" w:sz="12" w:space="0" w:color="5B9BD5" w:themeColor="accent1"/>
        </w:tcBorders>
      </w:tcPr>
    </w:tblStylePr>
    <w:tblStylePr w:type="lastRow">
      <w:rPr>
        <w:color w:val="404040"/>
        <w:sz w:val="22"/>
      </w:rPr>
      <w:tblPr/>
      <w:tcPr>
        <w:tcBorders>
          <w:top w:val="single" w:sz="12" w:space="0" w:color="5B9BD5" w:themeColor="accent1"/>
        </w:tcBorders>
      </w:tcPr>
    </w:tblStylePr>
    <w:tblStylePr w:type="firstCol">
      <w:rPr>
        <w:color w:val="404040"/>
        <w:sz w:val="22"/>
      </w:rPr>
    </w:tblStylePr>
    <w:tblStylePr w:type="lastCol">
      <w:rPr>
        <w:color w:val="404040"/>
        <w:sz w:val="22"/>
      </w:rPr>
      <w:tblPr/>
      <w:tcPr>
        <w:tcBorders>
          <w:left w:val="single" w:sz="12" w:space="0" w:color="5B9BD5" w:themeColor="accent1"/>
        </w:tcBorders>
      </w:tcPr>
    </w:tblStylePr>
    <w:tblStylePr w:type="band1Horz">
      <w:rPr>
        <w:color w:val="404040"/>
        <w:sz w:val="22"/>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color w:val="404040"/>
        <w:sz w:val="22"/>
      </w:rPr>
      <w:tblPr/>
      <w:tcPr>
        <w:tcBorders>
          <w:bottom w:val="single" w:sz="12" w:space="0" w:color="4472C4" w:themeColor="accent5"/>
        </w:tcBorders>
      </w:tcPr>
    </w:tblStylePr>
    <w:tblStylePr w:type="lastRow">
      <w:rPr>
        <w:color w:val="404040"/>
        <w:sz w:val="22"/>
      </w:rPr>
      <w:tblPr/>
      <w:tcPr>
        <w:tcBorders>
          <w:top w:val="single" w:sz="12" w:space="0" w:color="4472C4" w:themeColor="accent5"/>
        </w:tcBorders>
      </w:tcPr>
    </w:tblStylePr>
    <w:tblStylePr w:type="firstCol">
      <w:rPr>
        <w:color w:val="404040"/>
        <w:sz w:val="22"/>
      </w:rPr>
    </w:tblStylePr>
    <w:tblStylePr w:type="lastCol">
      <w:rPr>
        <w:color w:val="404040"/>
        <w:sz w:val="22"/>
      </w:rPr>
      <w:tblPr/>
      <w:tcPr>
        <w:tcBorders>
          <w:left w:val="single" w:sz="12" w:space="0" w:color="4472C4" w:themeColor="accent5"/>
        </w:tcBorders>
      </w:tcPr>
    </w:tblStylePr>
    <w:tblStylePr w:type="band1Horz">
      <w:rPr>
        <w:color w:val="404040"/>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395915&amp;dst=100019" TargetMode="External"/><Relationship Id="rId13" Type="http://schemas.openxmlformats.org/officeDocument/2006/relationships/hyperlink" Target="file:///C:\Users\User\AppData\Local\Temp\uploader\upload-ext-71586582230023388\%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file:///C:\Users\User\AppData\Local\Temp\uploader\upload-ext-71586582230023388\%7b&#1050;&#1086;&#1085;&#1089;&#1091;&#1083;&#1100;&#1090;&#1072;&#1085;&#1090;&#1055;&#1083;&#1102;&#1089;%7d" TargetMode="External"/><Relationship Id="rId12" Type="http://schemas.openxmlformats.org/officeDocument/2006/relationships/hyperlink" Target="file:///C:\Users\User\AppData\Local\Temp\uploader\upload-ext-71586582230023388\%7b&#1050;&#1086;&#1085;&#1089;&#1091;&#1083;&#1100;&#1090;&#1072;&#1085;&#1090;&#1055;&#1083;&#1102;&#1089;%7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User\AppData\Local\Temp\uploader\upload-ext-71586582230023388\(&#1047;&#1072;&#1088;&#1077;&#1075;&#1080;&#1089;&#1090;&#1088;&#1080;&#1088;&#1086;"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file:///C:\Users\User\AppData\Local\Temp\uploader\upload-ext-71586582230023388\%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file:///C:\Users\User\AppData\Local\Temp\uploader\upload-ext-71586582230023388\&#1055;&#1086;&#1083;&#1086;&#1078;&#1077;&#1085;&#1080;&#1077;&#1084;%20&#1086;%20&#1075;&#1086;&#1089;&#1091;&#1076;&#1072;&#1088;&#1089;&#1090;&#1074;&#1077;&#1085;&#1085;&#1086;&#1081;%20&#1080;&#1085;&#1090;&#1077;&#1075;&#1088;&#1080;&#1088;&#1086;&#1074;&#1072;&#1085;&#1085;&#1086;&#1081;%20&#1080;&#1085;&#1092;&#1086;&#1088;&#1084;&#1072;&#1094;&#1080;&#1086;&#1085;&#1085;&#1086;&#1081;%20&#1089;&#1080;&#108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562E3-F5D2-4B1C-B86B-9CA98B53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User</cp:lastModifiedBy>
  <cp:revision>3</cp:revision>
  <dcterms:created xsi:type="dcterms:W3CDTF">2024-01-26T03:49:00Z</dcterms:created>
  <dcterms:modified xsi:type="dcterms:W3CDTF">2024-01-26T04:35:00Z</dcterms:modified>
  <dc:language>en-US</dc:language>
</cp:coreProperties>
</file>