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1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081"/>
      </w:tblGrid>
      <w:tr w:rsidR="00F027CC">
        <w:trPr>
          <w:trHeight w:hRule="exact" w:val="4161"/>
        </w:trPr>
        <w:tc>
          <w:tcPr>
            <w:tcW w:w="10081" w:type="dxa"/>
          </w:tcPr>
          <w:p w:rsidR="00F027CC" w:rsidRDefault="00F83B61">
            <w:pPr>
              <w:widowControl w:val="0"/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7CC" w:rsidRDefault="00F027CC">
            <w:pPr>
              <w:pStyle w:val="a8"/>
              <w:widowControl w:val="0"/>
              <w:spacing w:after="0"/>
              <w:rPr>
                <w:szCs w:val="28"/>
              </w:rPr>
            </w:pPr>
          </w:p>
          <w:p w:rsidR="00F027CC" w:rsidRDefault="00F83B61">
            <w:pPr>
              <w:pStyle w:val="a8"/>
              <w:widowControl w:val="0"/>
            </w:pPr>
            <w:r>
              <w:rPr>
                <w:b/>
                <w:szCs w:val="28"/>
              </w:rPr>
              <w:t xml:space="preserve">АДМИНИСТРАЦИЯ Ордынского района </w:t>
            </w:r>
          </w:p>
          <w:p w:rsidR="00F027CC" w:rsidRDefault="00F83B61">
            <w:pPr>
              <w:pStyle w:val="a8"/>
              <w:widowControl w:val="0"/>
            </w:pPr>
            <w:r>
              <w:rPr>
                <w:b/>
                <w:szCs w:val="28"/>
              </w:rPr>
              <w:t>НОВОСИБИРСКОЙ ОБЛАСТИ</w:t>
            </w:r>
          </w:p>
          <w:p w:rsidR="00F027CC" w:rsidRDefault="00F027CC">
            <w:pPr>
              <w:pStyle w:val="a8"/>
              <w:widowControl w:val="0"/>
              <w:spacing w:after="0"/>
              <w:rPr>
                <w:szCs w:val="28"/>
              </w:rPr>
            </w:pPr>
          </w:p>
          <w:p w:rsidR="00F027CC" w:rsidRDefault="00F83B61">
            <w:pPr>
              <w:pStyle w:val="a8"/>
              <w:widowControl w:val="0"/>
            </w:pPr>
            <w:r>
              <w:rPr>
                <w:b/>
                <w:bCs/>
                <w:caps w:val="0"/>
                <w:szCs w:val="28"/>
              </w:rPr>
              <w:t>ПОСТАНОВЛЕНИЕ</w:t>
            </w:r>
          </w:p>
          <w:p w:rsidR="00F027CC" w:rsidRDefault="00F027CC">
            <w:pPr>
              <w:widowControl w:val="0"/>
              <w:spacing w:after="0"/>
            </w:pPr>
          </w:p>
          <w:p w:rsidR="00F027CC" w:rsidRDefault="00F83B61" w:rsidP="00F83B61">
            <w:pPr>
              <w:pStyle w:val="ConsPlusTitle"/>
              <w:rPr>
                <w:rFonts w:ascii="Times New Roman" w:hAnsi="Times New Roman" w:cs="Times New Roman"/>
                <w:b w:val="0"/>
                <w:color w:val="DDD9C3"/>
                <w:sz w:val="24"/>
              </w:rPr>
            </w:pP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</w:rPr>
              <w:t xml:space="preserve">                                                         _</w:t>
            </w: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  <w:u w:val="single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3110865" cy="25209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DDD9C3"/>
                <w:sz w:val="24"/>
              </w:rPr>
              <w:t>_</w:t>
            </w:r>
          </w:p>
          <w:p w:rsidR="00F027CC" w:rsidRDefault="00F027CC">
            <w:pPr>
              <w:pStyle w:val="ConsPlusTitle"/>
              <w:jc w:val="center"/>
              <w:rPr>
                <w:color w:val="DDD9C3"/>
              </w:rPr>
            </w:pPr>
          </w:p>
          <w:p w:rsidR="00F027CC" w:rsidRDefault="00F83B61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р.п. Ордынское</w:t>
            </w:r>
          </w:p>
          <w:p w:rsidR="00F027CC" w:rsidRDefault="00F027CC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F027CC" w:rsidRDefault="00F027CC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F027CC" w:rsidRDefault="00F027CC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F027CC" w:rsidRDefault="00F027CC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F027CC" w:rsidRDefault="00F027CC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F027CC" w:rsidRDefault="00F83B61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83B61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ind w:left="22"/>
              <w:jc w:val="center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от 26.11.2015      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№ 1112</w:t>
            </w:r>
          </w:p>
          <w:p w:rsidR="00F027CC" w:rsidRDefault="00F027CC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pacing w:val="10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83B61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 Порядке применения бюджетной классификации Российской Федерации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части, относящейся к      бюджету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Ордынского района Новосибирской области</w:t>
            </w:r>
          </w:p>
          <w:p w:rsidR="00F027CC" w:rsidRDefault="00F027CC">
            <w:pPr>
              <w:widowControl w:val="0"/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83B61">
            <w:pPr>
              <w:widowControl w:val="0"/>
              <w:shd w:val="clear" w:color="auto" w:fill="FFFFFF"/>
              <w:ind w:left="22" w:firstLine="605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соответствии со статьей 9 Бюджетного кодекса Российской Федерации, приказом министерства финансов Российской Федерации от 28 декабря 2010 года    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 xml:space="preserve">№ 65Н «Об утверждении Указаний о порядке применения бюджетной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классификации Российской Федерации» (в редакции от 05.10.2015 года), в целях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соблюдения единых принципов применения бюджетной классификации 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Российской Федерации при составлении и исполнении бюджета Ордынского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района Новосибирской области, составлении бюджетной отчетности</w:t>
            </w:r>
          </w:p>
          <w:p w:rsidR="00F027CC" w:rsidRDefault="00F83B61">
            <w:pPr>
              <w:widowControl w:val="0"/>
              <w:shd w:val="clear" w:color="auto" w:fill="FFFFFF"/>
              <w:spacing w:line="317" w:lineRule="exact"/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ПОСТАНОВЛЯЮ:</w:t>
            </w:r>
          </w:p>
          <w:p w:rsidR="00F027CC" w:rsidRDefault="00F83B61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1.Утвердить Порядок применения бюджетной классификации Российской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Федерации в части, относящейся к бюджету Ордынского района 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 (далее - Порядок) согласно приложению.</w:t>
            </w:r>
          </w:p>
          <w:p w:rsidR="00F027CC" w:rsidRDefault="00F83B61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2.Признать утратившим силу постановление администрации Ордынского района Новосибирской области от 08.02.2012 года №113 «О Порядке применения бюджетной классификации Российской Федерации в части, относящейся к бюджету Ордынского района Новосибирской области».</w:t>
            </w:r>
          </w:p>
          <w:p w:rsidR="00F027CC" w:rsidRDefault="00F83B61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3.Настоящее постановление вступает в силу с 01 января 2016 года.</w:t>
            </w:r>
          </w:p>
          <w:p w:rsidR="00F027CC" w:rsidRDefault="00F83B61">
            <w:pPr>
              <w:widowControl w:val="0"/>
              <w:shd w:val="clear" w:color="auto" w:fill="FFFFFF"/>
              <w:ind w:left="14" w:right="7" w:firstLine="684"/>
              <w:jc w:val="both"/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4.Контроль за исполнением настоящего постановления возложить на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заместителя главы администрации Ордынского района Новосибирской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области Г.Д.Склярову.</w:t>
            </w:r>
          </w:p>
          <w:p w:rsidR="00F027CC" w:rsidRDefault="00F027CC">
            <w:pPr>
              <w:widowControl w:val="0"/>
              <w:shd w:val="clear" w:color="auto" w:fill="FFFFFF"/>
              <w:spacing w:after="0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F027CC" w:rsidRDefault="00F83B61">
            <w:pPr>
              <w:widowControl w:val="0"/>
              <w:shd w:val="clear" w:color="auto" w:fill="FFFFFF"/>
              <w:tabs>
                <w:tab w:val="left" w:pos="5666"/>
              </w:tabs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И.о.Главы Ордынского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027CC" w:rsidRDefault="00F83B61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ind w:left="22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                                                                                   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Е.А. Бабиков</w:t>
            </w:r>
          </w:p>
          <w:p w:rsidR="00F027CC" w:rsidRDefault="00F027CC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027CC" w:rsidRDefault="00F83B61">
            <w:pPr>
              <w:widowControl w:val="0"/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>Вернигорова С.А.</w:t>
            </w:r>
          </w:p>
          <w:p w:rsidR="00F027CC" w:rsidRDefault="00F83B61">
            <w:pPr>
              <w:widowControl w:val="0"/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23-314</w:t>
            </w:r>
          </w:p>
          <w:p w:rsidR="00F027CC" w:rsidRDefault="00F83B61">
            <w:pPr>
              <w:widowControl w:val="0"/>
              <w:shd w:val="clear" w:color="auto" w:fill="FFFFFF"/>
              <w:spacing w:before="202" w:line="274" w:lineRule="exact"/>
              <w:jc w:val="right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pStyle w:val="1"/>
              <w:widowControl w:val="0"/>
            </w:pPr>
          </w:p>
          <w:p w:rsidR="00F027CC" w:rsidRDefault="00F027CC">
            <w:pPr>
              <w:pStyle w:val="1"/>
              <w:widowControl w:val="0"/>
            </w:pPr>
          </w:p>
          <w:p w:rsidR="00F027CC" w:rsidRDefault="00F83B61">
            <w:pPr>
              <w:pStyle w:val="1"/>
              <w:widowControl w:val="0"/>
            </w:pPr>
            <w:r>
              <w:t>СОГЛАСОВАНО</w:t>
            </w:r>
          </w:p>
          <w:p w:rsidR="00F027CC" w:rsidRDefault="00F027CC">
            <w:pPr>
              <w:pStyle w:val="1"/>
              <w:widowControl w:val="0"/>
            </w:pPr>
          </w:p>
          <w:p w:rsidR="00F027CC" w:rsidRDefault="00F83B61">
            <w:pPr>
              <w:pStyle w:val="1"/>
              <w:widowControl w:val="0"/>
            </w:pPr>
            <w:r>
              <w:t xml:space="preserve">Начальник Управления финансов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и налоговой политики Ордынского района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«___» ноябрь 2015 г.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                                                                  </w:t>
            </w:r>
            <w:r>
              <w:tab/>
            </w:r>
            <w:r>
              <w:tab/>
      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Л.И. Пирко</w:t>
            </w:r>
          </w:p>
          <w:p w:rsidR="00F027CC" w:rsidRDefault="00F83B61">
            <w:pPr>
              <w:pStyle w:val="1"/>
              <w:widowControl w:val="0"/>
            </w:pPr>
            <w:r>
              <w:t>Начальник отдела финансов, учета и отчетности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администрации Ордынского района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F027CC" w:rsidRDefault="00F83B61">
            <w:pPr>
              <w:pStyle w:val="1"/>
              <w:widowControl w:val="0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С.А. Вернигорова</w:t>
            </w:r>
          </w:p>
          <w:p w:rsidR="00F027CC" w:rsidRDefault="00F027CC">
            <w:pPr>
              <w:pStyle w:val="1"/>
              <w:widowControl w:val="0"/>
            </w:pPr>
          </w:p>
          <w:p w:rsidR="00F027CC" w:rsidRDefault="00F83B61">
            <w:pPr>
              <w:pStyle w:val="1"/>
              <w:widowControl w:val="0"/>
            </w:pPr>
            <w:r>
              <w:t>Управляющий делами администрации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Ордынского района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F027CC" w:rsidRDefault="00F83B61">
            <w:pPr>
              <w:pStyle w:val="1"/>
              <w:widowControl w:val="0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С.В. Смирнов</w:t>
            </w:r>
          </w:p>
          <w:p w:rsidR="00F027CC" w:rsidRDefault="00F027CC">
            <w:pPr>
              <w:pStyle w:val="1"/>
              <w:widowControl w:val="0"/>
              <w:tabs>
                <w:tab w:val="left" w:pos="7380"/>
              </w:tabs>
            </w:pPr>
          </w:p>
          <w:p w:rsidR="00F027CC" w:rsidRDefault="00F83B61">
            <w:pPr>
              <w:pStyle w:val="1"/>
              <w:widowControl w:val="0"/>
            </w:pPr>
            <w:r>
              <w:t xml:space="preserve">Начальник правового отдела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администрации Ордынского района </w:t>
            </w:r>
          </w:p>
          <w:p w:rsidR="00F027CC" w:rsidRDefault="00F83B61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F027CC" w:rsidRDefault="00F83B61">
            <w:pPr>
              <w:pStyle w:val="1"/>
              <w:widowControl w:val="0"/>
              <w:tabs>
                <w:tab w:val="left" w:pos="7020"/>
              </w:tabs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Н.Ф. Яковлева</w:t>
            </w:r>
          </w:p>
          <w:p w:rsidR="00F027CC" w:rsidRDefault="00F027CC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F027CC" w:rsidRDefault="00F027CC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7CC" w:rsidRDefault="00F027C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027CC" w:rsidRDefault="00F027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027CC" w:rsidRDefault="00F83B61">
      <w:pPr>
        <w:pStyle w:val="ConsPlusTitle"/>
        <w:ind w:left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исполнении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части переданных полномочий по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ведению бюджетного (бухгалтерского) учета и бухгалтерской (финансовой) отчетности Кирзинского сельсовета Ордынского района Новосибирской области Ордынского района Новосибирской области</w:t>
      </w:r>
    </w:p>
    <w:p w:rsidR="00F027CC" w:rsidRDefault="00F027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027CC" w:rsidRDefault="00F02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7CC" w:rsidRDefault="00F0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CC" w:rsidRDefault="00F8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154 и пунктом 6 статьи 264.1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руководствуясь Уставом Ордынского муниципального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</w:t>
      </w:r>
    </w:p>
    <w:p w:rsidR="00F027CC" w:rsidRDefault="00F83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027CC" w:rsidRDefault="00F8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1.Поручить муниципальному казенному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«Центр бухгалтерского, материально-технического и информационного обеспечения Ордынского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переданных полномочий по ведению бюджетного (бухгалтерского) учета и бухгалтерской (финансовой) отчетности Кирзинского сельсовета Ордынского района Новосибирской области, в соответствии с Соглашением о передаче финансовому </w:t>
      </w:r>
      <w:r>
        <w:rPr>
          <w:rFonts w:ascii="Times New Roman" w:hAnsi="Times New Roman" w:cs="Times New Roman"/>
          <w:bCs/>
          <w:sz w:val="28"/>
          <w:szCs w:val="28"/>
        </w:rPr>
        <w:t>органу Ордынского района Новосибирской области  полномочий финансового органа Кирзинского сельсовета Ордынского района Новосибирской области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ведению бюджетного (бухгалтерского) учета и бухгалтерской (финансовой) отчетности Кирзинского сельсовета Ордынского района Новосибирской области.                                       </w:t>
      </w:r>
    </w:p>
    <w:p w:rsidR="00F027CC" w:rsidRDefault="00F8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2.Руководителю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«Центр бухгалтерского, материально-технического и информационного обеспечения Ордынского района» Калмыковой Л.Г. заключить с администрацией Кирзинского сельсовета Ордынского района Новосибирской области соглашение о порядке исполнения переданных полномочий по ведению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(бухгалтерского) учета и бухгалтерской (финансовой) отчетности Кирзинского сельсовета Ордынского района Новосибирской области и обеспечить его исполнение в соответствии с приложением к настоящему постановлению.</w:t>
      </w:r>
    </w:p>
    <w:p w:rsidR="00F027CC" w:rsidRDefault="00F83B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F027CC" w:rsidRDefault="00F83B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заместителя главы администрации Ордынского района Новосибирской области Склярову Г.Д. </w:t>
      </w:r>
    </w:p>
    <w:p w:rsidR="00F027CC" w:rsidRDefault="00F027C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F027CC" w:rsidRDefault="00F83B61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Ордынского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7CC" w:rsidRDefault="00F83B6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ind w:left="2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                                    О.А. </w:t>
      </w:r>
      <w:r>
        <w:rPr>
          <w:rFonts w:ascii="Times New Roman" w:hAnsi="Times New Roman" w:cs="Times New Roman"/>
          <w:spacing w:val="-2"/>
          <w:sz w:val="28"/>
          <w:szCs w:val="28"/>
        </w:rPr>
        <w:t>Орел</w:t>
      </w: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027CC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7CC" w:rsidRDefault="00F83B6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Исп.Семенова И.Н..</w:t>
      </w:r>
    </w:p>
    <w:p w:rsidR="00F027CC" w:rsidRDefault="00F83B6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8(383) 59-23-313</w:t>
      </w:r>
    </w:p>
    <w:p w:rsidR="00F027CC" w:rsidRDefault="00C2351D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1D" w:rsidRDefault="00C2351D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351D" w:rsidRDefault="00C2351D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351D" w:rsidRDefault="00C2351D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7CC" w:rsidRDefault="00F83B6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F027CC" w:rsidRDefault="00F83B61">
      <w:pPr>
        <w:spacing w:after="0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Утверждена</w:t>
      </w:r>
    </w:p>
    <w:p w:rsidR="00F027CC" w:rsidRDefault="00F83B6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027CC" w:rsidRDefault="00F83B6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F027CC" w:rsidRDefault="00F83B6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Новосибирской области</w:t>
      </w:r>
    </w:p>
    <w:p w:rsidR="00F027CC" w:rsidRDefault="00F83B6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от </w:t>
      </w:r>
      <w:r w:rsidR="00B643A5">
        <w:rPr>
          <w:rFonts w:ascii="Times New Roman" w:eastAsia="Andale Sans UI" w:hAnsi="Times New Roman" w:cs="Times New Roman"/>
          <w:sz w:val="28"/>
          <w:szCs w:val="28"/>
          <w:lang w:eastAsia="ru-RU"/>
        </w:rPr>
        <w:t>28.11.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2023 г №</w:t>
      </w:r>
      <w:r w:rsidR="00B643A5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1432/89</w:t>
      </w:r>
    </w:p>
    <w:p w:rsidR="00F027CC" w:rsidRDefault="00F027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CC" w:rsidRDefault="00F027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CC" w:rsidRDefault="00F0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CC" w:rsidRDefault="00F83B61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F027CC" w:rsidRDefault="00F83B61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о порядке исполнения переданных полномочий </w:t>
      </w:r>
      <w:r>
        <w:rPr>
          <w:rFonts w:ascii="Times New Roman" w:eastAsia="Andale Sans U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финансовому органу Ордынского района Новосибирской области полномочий финансового органа ……..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ведению бюджетного (бухгалтерского) учета и составлению отчетности _______ сельсовета Ордынского района Новосибирской области</w:t>
      </w:r>
    </w:p>
    <w:p w:rsidR="00F027CC" w:rsidRDefault="00F83B61">
      <w:pPr>
        <w:widowControl w:val="0"/>
        <w:tabs>
          <w:tab w:val="right" w:pos="9923"/>
        </w:tabs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ab/>
        <w:t>«___»  ________202__ №___</w:t>
      </w:r>
    </w:p>
    <w:p w:rsidR="00F027CC" w:rsidRDefault="00F83B6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27CC" w:rsidRDefault="00F83B61">
      <w:pPr>
        <w:widowControl w:val="0"/>
        <w:spacing w:after="0" w:line="240" w:lineRule="auto"/>
        <w:ind w:right="142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Ордынского района Новосибирской области «Центр бухгалтерского и материально-технического и информационного обеспечения» в лице руководителя ………….,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действующего(ей) на основании Устава и постановления администрации Ордынского района Новосибирской области от _________ 2023 №__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Администрация ________ сельсовета Ордынского района Новосибирской области (далее-Администрация поселения) в лице Главы ________ сельсовета Ордынского района Новосибирской области, действующего(ей) на основании Устава  сельского поселения________ сельсовета Ордынского муниципального района Новосибирской области и Соглашения от ______ 2023 года №___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ru-RU"/>
        </w:rPr>
        <w:t xml:space="preserve">«О передаче </w:t>
      </w:r>
      <w:r>
        <w:rPr>
          <w:rFonts w:ascii="Times New Roman" w:eastAsia="Andale Sans UI" w:hAnsi="Times New Roman" w:cs="Times New Roman"/>
          <w:bCs/>
          <w:color w:val="000000"/>
          <w:spacing w:val="-3"/>
          <w:sz w:val="28"/>
          <w:szCs w:val="28"/>
          <w:lang w:eastAsia="ru-RU"/>
        </w:rPr>
        <w:t>финансовому органу Ордынского района Новосибирской области  полномочий финансового органа _________ сельсовета Ордынского района Новосибирской области по</w:t>
      </w:r>
      <w:r>
        <w:rPr>
          <w:rFonts w:ascii="Times New Roman" w:eastAsia="Andale Sans U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ведению бюджетного (бухгалтерского) учета и бухгалтерской (финансовой) отчетности ________ сельсовета Ордынского района Новосибирской области» с другой стороны, вместе именуемые «Стороны», заключили настоящее соглашение о нижеследующем:</w:t>
      </w:r>
    </w:p>
    <w:p w:rsidR="00F027CC" w:rsidRDefault="00F027CC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hd w:val="clear" w:color="auto" w:fill="FFFFFF"/>
        <w:spacing w:after="0" w:line="240" w:lineRule="auto"/>
        <w:ind w:left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1. Предмет соглашения</w:t>
      </w:r>
    </w:p>
    <w:p w:rsidR="00F027CC" w:rsidRDefault="00F027CC">
      <w:pPr>
        <w:widowControl w:val="0"/>
        <w:shd w:val="clear" w:color="auto" w:fill="FFFFFF"/>
        <w:spacing w:after="0" w:line="240" w:lineRule="auto"/>
        <w:ind w:left="3817" w:right="142" w:firstLine="709"/>
        <w:jc w:val="both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выполнение переданных полномочий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……….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(далее - поселение),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 части организации и ведения бухгалтерского (бюджетного), статистического, налогового учета, отчетности и планирования в соответствии с Бюджетным кодексом Российской Федерации, иными нормативными правовыми актами Российской Федерации, Новосибирской области, регулирующими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lastRenderedPageBreak/>
        <w:t>бюджетные правоотношения, принятыми органами местного самоуправления Ордынского района Новосибирской области (в пределах своей компетенции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казенным учреждением Ордынского района Новосибирской области «Центр бухгалтерского и материально-технического и информационного обеспечения»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(далее -  Учреждение)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                               </w:t>
      </w: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>2. Права и обязанности сторон</w:t>
      </w:r>
    </w:p>
    <w:p w:rsidR="00F027CC" w:rsidRDefault="00F027CC">
      <w:pPr>
        <w:widowControl w:val="0"/>
        <w:shd w:val="clear" w:color="auto" w:fill="FFFFFF"/>
        <w:spacing w:after="0" w:line="240" w:lineRule="auto"/>
        <w:ind w:left="3817" w:right="142" w:firstLine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2.1. Учреждение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обязано: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1)обеспечить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выполнение полномочий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 Федеральным Законом от 06.12.2011 года № 402-ФЗ «О бухгалтерском учете», Федеральными стандартами бухгалтерского учета для организаций государственного сектора, Приказом Минфина России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157н), Приказом Минфина России от 06.12.2010 года № 162н «Об утверждении Плана счетов бюджетного учета и Инструкции по его применению» (далее – Инструкция 162н), Приказом Минфина России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191н), Приказом Минфина России от 30.03.2015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Бюджетное (бухгалтерское) обслуживание включает в себя: 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1) разработка и представление в Администрацию поселения бюджетного прогноза (изменений бюджетного прогноза) _______ сельсовета Ордынского района Новосибирской области на долгосрочный период;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2) организация составления проекта местного бюджета, и представление его в Администрацию поселения;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3) разработка и представление в Администрацию поселения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4)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       5) проектирование предельных объемов бюджетных ассигнований по главным распорядителям средств местного бюджета;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lastRenderedPageBreak/>
        <w:t>6) организация исполнения местного бюджета;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7) разработка проектов методик распределения и порядка предоставления межбюджетных трансфертов из местного бюджета;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8) формирование и ведение реестра источников доходов ______ сельсовета Ордынского района Новосибирской области, а также перечень источников доходов бюджетов бюджетной системы Российской Федерации;</w:t>
      </w:r>
    </w:p>
    <w:p w:rsidR="00F027CC" w:rsidRDefault="00F83B61">
      <w:pPr>
        <w:widowControl w:val="0"/>
        <w:spacing w:before="200" w:after="0" w:line="240" w:lineRule="auto"/>
        <w:ind w:right="142" w:firstLine="709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9) ведение реестра расходных обязательств ______ сельсовета Ордынского района Новосибирской области в порядке, установленном Администрацией поселения;</w:t>
      </w:r>
    </w:p>
    <w:p w:rsidR="00F027CC" w:rsidRDefault="00F83B61">
      <w:pPr>
        <w:widowControl w:val="0"/>
        <w:spacing w:before="200" w:after="0" w:line="240" w:lineRule="auto"/>
        <w:ind w:right="142" w:firstLine="709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10) формирование и ведение реестра источников доходов местного бюджета;</w:t>
      </w:r>
    </w:p>
    <w:p w:rsidR="00F027CC" w:rsidRDefault="00F83B6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12) сбор, регистрация и обобщение информации в денежном выражении о состоянии финансовых и нефинансовых активов бюджета поселения, а также об операциях, связанных с их выбытием (передачей, реализацией, списанием с балансового учета), получением (приобретением) и созданием (изготовлением, сооружением, строительством);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13) сбор регистрация и обобщение информации в денежном выражении о состоянии обязательств бюджета поселения, а также об операциях, изменяющих указанные обязательства, в том числе: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контроль и выплата в установленные сроки заработной платы и иных выплат сотрудникам администрации поселения;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организация расчетов с контрагентами по хозяйственным договорам, с бюджетом и внебюджетными фондами;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отражение результатов финансовой деятельности Администрации поселения по результатам исполнения бюджетной сметы;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-составление и представление в установленном порядке и в предусмотренные сроки бухгалтерской, налоговой и статистической отчетности. (Перечень форм отчетности приведен в Приложении № 1 к настоящему Соглашению);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-предварительный, текущий и последующий контроль за правильным оформлением документов Администрацией поселения и законностью совершаемых ей операций;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-организация налогового учета доходов, расходов, имущества и иных обязательств Администрации поселения;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-консультирование по вопросам оформления первичных учетных документов, по вопросам учета, хранения и списания материальных ценностей, находящихся на ответственном хранении.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-обеспечение хранения первичных учетных документов, регистров учета, бухгалтерской (финансовой) отчетности как на бумажных, так и на электронных носителях информации в течение отчетного года;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-предоставление по запросу Администрации поселения информации, необходимой ему для принятия управленческих решений;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-предоставление разъяснений по информационным материалам,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представляемым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Учреждением Администрации поселения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в соответствии с Соглашением.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2.2. Учреждение имеет право:</w:t>
      </w:r>
    </w:p>
    <w:p w:rsidR="00F027CC" w:rsidRDefault="00F83B61">
      <w:pPr>
        <w:widowControl w:val="0"/>
        <w:tabs>
          <w:tab w:val="left" w:pos="1490"/>
        </w:tabs>
        <w:spacing w:after="0" w:line="29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запрашивать у Администрации поселения информацию, необходимую для исполнения своих обязательств по настоящему Соглашению;</w:t>
      </w:r>
    </w:p>
    <w:p w:rsidR="00F027CC" w:rsidRDefault="00F83B61">
      <w:pPr>
        <w:widowControl w:val="0"/>
        <w:tabs>
          <w:tab w:val="left" w:pos="1499"/>
        </w:tabs>
        <w:spacing w:after="0" w:line="293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2)требовать от Администрации поселения своевременного и в соответствии с действующим законодательством оформления документов, в том числе первичных учетных документов;</w:t>
      </w:r>
    </w:p>
    <w:p w:rsidR="00F027CC" w:rsidRDefault="00F83B61">
      <w:pPr>
        <w:widowControl w:val="0"/>
        <w:tabs>
          <w:tab w:val="left" w:pos="1494"/>
        </w:tabs>
        <w:spacing w:after="0" w:line="29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3)отказать Администрации поселения в приеме и исполнении предоставленных первичных учетных документов с указанием причины:</w:t>
      </w:r>
    </w:p>
    <w:p w:rsidR="00F027CC" w:rsidRDefault="00F83B61">
      <w:pPr>
        <w:widowControl w:val="0"/>
        <w:numPr>
          <w:ilvl w:val="0"/>
          <w:numId w:val="1"/>
        </w:numPr>
        <w:tabs>
          <w:tab w:val="left" w:pos="962"/>
        </w:tabs>
        <w:spacing w:after="0" w:line="28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их оформление не соответствует требованиям, установленным действующим законодательством;</w:t>
      </w:r>
    </w:p>
    <w:p w:rsidR="00F027CC" w:rsidRDefault="00F83B61">
      <w:pPr>
        <w:widowControl w:val="0"/>
        <w:numPr>
          <w:ilvl w:val="0"/>
          <w:numId w:val="1"/>
        </w:numPr>
        <w:tabs>
          <w:tab w:val="left" w:pos="947"/>
        </w:tabs>
        <w:spacing w:after="0" w:line="293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оттиска печати, образцов подписей лиц, наделенных правом подписи первичных учетных документов;</w:t>
      </w:r>
    </w:p>
    <w:p w:rsidR="00F027CC" w:rsidRDefault="00F83B61">
      <w:pPr>
        <w:widowControl w:val="0"/>
        <w:tabs>
          <w:tab w:val="left" w:pos="1494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4)приостановить осуществление предусмотренных настоящим Соглашением полномочий в случае его невыполнения Администрацией поселения в части обеспечения перечисления межбюджетных трансфертов в бюджет района;</w:t>
      </w:r>
    </w:p>
    <w:p w:rsidR="00F027CC" w:rsidRDefault="00F83B61">
      <w:pPr>
        <w:widowControl w:val="0"/>
        <w:tabs>
          <w:tab w:val="left" w:pos="1494"/>
        </w:tabs>
        <w:spacing w:after="0" w:line="307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5)в случае возникновения препятствий для осуществления предусмотренных настоящим Соглашением полномочий обращаться в Администрацию поселения с предложениями по их устранению.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2.3</w:t>
      </w: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. Администрация поселения обязана:</w:t>
      </w:r>
    </w:p>
    <w:p w:rsidR="00F027CC" w:rsidRDefault="00F83B61">
      <w:pPr>
        <w:widowControl w:val="0"/>
        <w:tabs>
          <w:tab w:val="left" w:pos="1499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обеспечивать своевременное предоставление 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F027CC" w:rsidRDefault="00F83B61">
      <w:pPr>
        <w:widowControl w:val="0"/>
        <w:tabs>
          <w:tab w:val="left" w:pos="1494"/>
        </w:tabs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2)оформлять все проводимые органом местного самоуправления хозяйственные операции оправдательными документами, служащими первичными документами (основанием) для ведения бухгалтерского (бюджетного) учета;</w:t>
      </w:r>
    </w:p>
    <w:p w:rsidR="00F027CC" w:rsidRDefault="00F83B61">
      <w:pPr>
        <w:widowControl w:val="0"/>
        <w:tabs>
          <w:tab w:val="left" w:pos="1490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3)обеспечивать достоверность содержащихся в первичных документах данных, аутентичность и целостность электронных документов и скан-образов;</w:t>
      </w:r>
    </w:p>
    <w:p w:rsidR="00F027CC" w:rsidRDefault="00F83B61">
      <w:pPr>
        <w:widowControl w:val="0"/>
        <w:tabs>
          <w:tab w:val="left" w:pos="1499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4)обеспечивать своевременное предоставление Учреждению 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F027CC" w:rsidRDefault="00F83B61">
      <w:pPr>
        <w:widowControl w:val="0"/>
        <w:tabs>
          <w:tab w:val="left" w:pos="1490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5)осуществлять хранение первичных учетных документов на бумажных носителях, скан-образы которых переданы Учреждение в электронном виде;</w:t>
      </w:r>
    </w:p>
    <w:p w:rsidR="00F027CC" w:rsidRDefault="00F83B61">
      <w:pPr>
        <w:widowControl w:val="0"/>
        <w:tabs>
          <w:tab w:val="left" w:pos="1490"/>
        </w:tabs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6)назначать ответственных специалистов по взаимодействию с Учреждением с наделением права использования электронной подписи;</w:t>
      </w:r>
    </w:p>
    <w:p w:rsidR="00F027CC" w:rsidRDefault="00F83B61">
      <w:pPr>
        <w:widowControl w:val="0"/>
        <w:tabs>
          <w:tab w:val="left" w:pos="1499"/>
        </w:tabs>
        <w:spacing w:after="0" w:line="317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7)рассматривать обращения Учреждения по поводу устранения препятствий для выполнения предусмотренных настоящим Соглашением полномочий, принимать необходимые для их устранения меры.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2.4. Администрация поселения имеет право: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 xml:space="preserve">1)требовать от Учреждения своевременного и полного исполнения </w:t>
      </w: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lastRenderedPageBreak/>
        <w:t>обязательств по данному Соглашению;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2)своевременно получать необходимую информацию в рамках исполняемых полномочий для принятия управленческих решений.</w:t>
      </w:r>
    </w:p>
    <w:p w:rsidR="00F027CC" w:rsidRDefault="00F027C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3. Ответственность сторон</w:t>
      </w:r>
    </w:p>
    <w:p w:rsidR="00F027CC" w:rsidRDefault="00F83B61">
      <w:pPr>
        <w:tabs>
          <w:tab w:val="left" w:pos="0"/>
        </w:tabs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Ответственность сторон по настоящему Соглашению определяется действующим Законодательством Российской Федерации.</w:t>
      </w:r>
    </w:p>
    <w:p w:rsidR="00F027CC" w:rsidRDefault="00F027CC">
      <w:pPr>
        <w:widowControl w:val="0"/>
        <w:shd w:val="clear" w:color="auto" w:fill="FFFFFF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>4. Порядок внесения изменений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4.1. Все изменения и дополнения к настоящему Соглашению оформляются в виде дополнительного соглашения, подписываемого Сторонами.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4.2. Дополнительное соглашение считается заключенным и вступает в силу со дня его подписания сторонами.</w:t>
      </w:r>
    </w:p>
    <w:p w:rsidR="00F027CC" w:rsidRDefault="00F027CC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                                  </w:t>
      </w:r>
      <w:r>
        <w:rPr>
          <w:rFonts w:ascii="Times New Roman" w:eastAsia="Andale Sans UI" w:hAnsi="Times New Roman" w:cs="Times New Roman"/>
          <w:b/>
          <w:spacing w:val="-3"/>
          <w:sz w:val="28"/>
          <w:szCs w:val="28"/>
          <w:lang w:eastAsia="ru-RU"/>
        </w:rPr>
        <w:t xml:space="preserve"> 5</w:t>
      </w: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eastAsia="Andale Sans UI" w:hAnsi="Times New Roman" w:cs="Times New Roman"/>
          <w:b/>
          <w:spacing w:val="-3"/>
          <w:sz w:val="28"/>
          <w:szCs w:val="28"/>
          <w:lang w:eastAsia="ru-RU"/>
        </w:rPr>
        <w:t>Срок действия соглашения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5.1. Соглашение заключено на три года,</w:t>
      </w:r>
    </w:p>
    <w:p w:rsidR="00F027CC" w:rsidRDefault="00F83B61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5.2. При отсутствии письменного обращения какой-либо из сторон о прекращении действия Соглашения, направленного за один месяц до истечения срока действия Соглашения, Соглашение считается пролонгированным на следующий календарный год.</w:t>
      </w:r>
    </w:p>
    <w:p w:rsidR="00F027CC" w:rsidRDefault="00F83B6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5.3. Соглашение считается заключенным и вступает в силу с момента его подписания всеми сторонами и распространяет свое действие на правоотношения, возникшие с _________ 202_ года.</w:t>
      </w: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56"/>
      <w:bookmarkStart w:id="2" w:name="Par56"/>
      <w:bookmarkEnd w:id="1"/>
      <w:bookmarkEnd w:id="2"/>
    </w:p>
    <w:p w:rsidR="00F027CC" w:rsidRDefault="00F83B61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b/>
          <w:sz w:val="28"/>
          <w:szCs w:val="28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Andale Sans UI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>Реквизиты и подписи сторон</w:t>
      </w:r>
    </w:p>
    <w:p w:rsidR="00F027CC" w:rsidRDefault="00F027CC">
      <w:pPr>
        <w:widowControl w:val="0"/>
        <w:spacing w:after="0" w:line="240" w:lineRule="auto"/>
        <w:ind w:right="142" w:firstLine="709"/>
        <w:rPr>
          <w:rFonts w:ascii="Times New Roman" w:eastAsia="Andale Sans UI" w:hAnsi="Times New Roman" w:cs="Times New Roman"/>
          <w:sz w:val="24"/>
          <w:szCs w:val="24"/>
        </w:rPr>
      </w:pPr>
    </w:p>
    <w:tbl>
      <w:tblPr>
        <w:tblW w:w="102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46"/>
        <w:gridCol w:w="4536"/>
      </w:tblGrid>
      <w:tr w:rsidR="00F027CC">
        <w:tc>
          <w:tcPr>
            <w:tcW w:w="5528" w:type="dxa"/>
          </w:tcPr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МКУ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Ордынского района 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бухгалтерского и 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информационного обеспечения»</w:t>
            </w: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_____________/________/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М.П</w:t>
            </w: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dxa"/>
          </w:tcPr>
          <w:p w:rsidR="00F027CC" w:rsidRDefault="00F027CC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Администрация 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сельсовета Ордынского района Новосибирской области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________ сельсовета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/________/</w:t>
            </w:r>
          </w:p>
          <w:p w:rsidR="00F027CC" w:rsidRDefault="00F83B61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F027CC">
        <w:tc>
          <w:tcPr>
            <w:tcW w:w="5528" w:type="dxa"/>
          </w:tcPr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dxa"/>
          </w:tcPr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27CC" w:rsidRDefault="00F027CC">
            <w:pPr>
              <w:widowControl w:val="0"/>
              <w:spacing w:after="0" w:line="240" w:lineRule="auto"/>
              <w:ind w:right="142" w:firstLine="709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</w:tr>
    </w:tbl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27CC">
          <w:pgSz w:w="11906" w:h="16838"/>
          <w:pgMar w:top="851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F027CC" w:rsidRDefault="00F83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F027CC" w:rsidRDefault="00F83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F027CC" w:rsidRDefault="00F83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 2023 №____</w:t>
      </w:r>
    </w:p>
    <w:p w:rsidR="00F027CC" w:rsidRDefault="00F83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7CC" w:rsidRDefault="00F83B61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функций и обязанностей между </w:t>
      </w:r>
    </w:p>
    <w:p w:rsidR="00F027CC" w:rsidRDefault="00F83B61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Заказчиком и Исполнителем в рамках исполнения Соглашения</w:t>
      </w:r>
    </w:p>
    <w:p w:rsidR="00F027CC" w:rsidRDefault="00F83B61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34"/>
        <w:gridCol w:w="4643"/>
      </w:tblGrid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 Заказчика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 Исполнителя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бухгалтерского учета</w:t>
            </w:r>
          </w:p>
        </w:tc>
      </w:tr>
      <w:tr w:rsidR="00F027CC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первичных (сводных) учетных документов, регистров бухгалтерского учета в течение отчетного года.</w:t>
            </w:r>
          </w:p>
        </w:tc>
      </w:tr>
      <w:tr w:rsidR="00F027CC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справедливой стоимости объектов учета на основе документально подтвержденных данных о рыночных ценах, полученных от независимых экспертов (оценщиков), либо сформированных Заказчиком самостоятельно путем изучения рыночных цен в открытом доступе.</w:t>
            </w:r>
          </w:p>
          <w:p w:rsidR="00F027CC" w:rsidRDefault="00F83B61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Переоценка активов и обязательств путем прямого пересчета (экспертная оценка), в случаях, предусмотренных учетной политикой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Переоценка активов и обязательств индексным методом, в случаях, предусмотренных учетной политикой.</w:t>
            </w:r>
          </w:p>
        </w:tc>
      </w:tr>
      <w:tr w:rsidR="00F027CC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бухгалтерской (финансовой) отчетности специального назначения.</w:t>
            </w:r>
          </w:p>
          <w:p w:rsidR="00F027CC" w:rsidRDefault="00F83B61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Подписание сформированных Исполнителем форм отчетности.</w:t>
            </w:r>
          </w:p>
          <w:p w:rsidR="00F027CC" w:rsidRDefault="00F83B61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бухгалтерской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(финансовой) отчетности в порядке и случаях, которые установлены законодательством Российской Федерации.</w:t>
            </w:r>
          </w:p>
          <w:p w:rsidR="00F027CC" w:rsidRDefault="00F83B61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бухгалтерской (финансовой) отчетности в течение сроков, установленных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бухгалтерской (финансовой) отчетности общего назначения в соответствии с согласованным перечнем (Приложение №3).</w:t>
            </w:r>
          </w:p>
          <w:p w:rsidR="00F027CC" w:rsidRDefault="00F83B61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налоговой,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статистической отчетности и отчетности по страховым взносам на обязательное социальное страхование в соответствии с согласованным перечнем (Приложение №3).</w:t>
            </w:r>
          </w:p>
          <w:p w:rsidR="00F027CC" w:rsidRDefault="00F83B6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сформированных форм отчетности на подписание Заказчику.</w:t>
            </w:r>
          </w:p>
          <w:p w:rsidR="00F027CC" w:rsidRDefault="00F83B6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сформированных форм отчетности в налоговые органы, внебюджетные фонды и органы статистики.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основных средств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документов по учету основных средств.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основных средств: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приходный ордер на приемку материальных ценностей (НФА) (ф. 0504207);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накладная на внутреннее перемещение объектов НФА (ф. 0504102);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приеме-сдаче отремонтированных, реконструированных и модернизированных объектов основных средств (ф.0504103);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консервации (разконсервации) объекта ОС;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объекта основных средств (кроме автотранспортных средств) (ф. 0504104);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 о списании транспортного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(ф. 0504105).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Присвоение и регистрация инвентарных номеров.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Ведение инвентарных списков (ф. 0504034).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и утверждение комиссии по поступлению и выбытию активов.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Формирование и утверждение инвентаризационной комиссии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Проведение в порядке, установленном учетной политикой, инвентаризации основных средств.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Оформление документов по результатам инвентаризации основных средств: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инвентаризационная опись (сличительная ведомость) по объектам НФА (ф. 0504087);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Контроль за техническим состоянием и сохранностью основных средств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Оформление доверенностей на приобретение основных средств, ведение журнала учета доверенностей.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правильности оформления первичных документов по учету основных средств.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основных средств: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приеме-передаче объектов НФА (ф. 0504101)</w:t>
            </w:r>
            <w:r>
              <w:rPr>
                <w:rStyle w:val="FootnoteAnchor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 xml:space="preserve">Своевременное, полное и достоверное отражение на счетах бюджетного (бухгалтерского) учета и в учетных регистрах фактов финансово-хозяйственной жизни, связанных с поступлением, перемещением, выбытием, сдачей (получением) в аренду, реконструкцией, модернизацией, техническим перевооружением, переоценкой основных средств на основании полученных и надлежащим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lastRenderedPageBreak/>
              <w:t>образом оформленных первичных документов.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4. Участие в проведении инвентаризации основных средств при необходимости. Отражение результатов инвентаризации в бюджетном учете.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5. Проведение выборочных проверок наличия основных средств.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6. Предоставление Заказчику информации по фактам хищения, недостач, просроченной дебиторской и кредиторской задолженности.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7. Проведение в порядке, установленном учетной политикой, инвентаризации основных средств.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8. Определение и отражение в учете финансового результата.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9.Формирование журнала операций по выбытию и перемещению нефинансовых активов.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материальных запасов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первичных документов по учету материалов.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материалов: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приходный ордер на приемку материальных ценностей (НФА) (ф. 0504207);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 приемки материалов (материальных ценностей) (ф. 0504220);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требование-накладная (ф. 0504204);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выдачи материальных ценностей на нужды учреждения (ф. 0504210);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путевой лист (ф. 0340002, ф. 0345001, 0345002, 0345004, 0345005, 0345007);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накладная на отпуск материалов (материальных ценностей) на сторону (ф. 0504205);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материальных запасов (ф. 0504230);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мягкого и хозяйственного инвентаря (ф. 0504143).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Учет материалов в местах хранения материальных ценностей (отражение в следующих учетных регистрах):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книга учета материальных ценностей (ф. 0504042);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карточка учета материальных ценностей (ф. 0504043);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книга учета бланков строгой отчетности (ф. 0504045).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и утверждение комиссии по поступлению и выбытию активов.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и утверждение инвентаризационной комиссии.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в порядке, установленном учетной политикой, инвентаризации материалов.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Оформление документов по результатам инвентаризации основных средств: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инвентаризационная опись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(сличительная ведомость) по объектам НФА (ф. 0504087);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хранения и обеспечение сохранности материалов.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Принятие участия в истребовании дебиторской задолженности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Оформление доверенностей на приобретение ТМЦ, ведение журнала учета доверенностей.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Контроль за договорами поставки материальных ценностей (дебиторской задолженности)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Обработка путевых листов автотранспорта Заказчика, расчет и списание ГСМ по установленным нормам расходования.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Проверка правильности оформления первичных документов по учету материалов. 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(бухгалтерского) учета и в учетных регистрах фактов финансово-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хозяйственной жизни, связанных с поступлением, перемещением, списанием, выбытием материалов на основании полученных и надлежащим образом оформленных первичных документов.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проведении инвентаризации материалов при необходимости. Отражение результатов инвентаризации в бюджетном (бухгалтерском) учете.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Определение и отражение в учете финансового результата от реализации материалов.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Подготовка и передача Заказчику отчетности на основании согласованного перечня.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Проведение выборочных проверок наличия товарно-материальных ценностей (ТМЦ).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8.Контроль и обработка путевых листов автотранспорта Заказчика, расчет и списание ГСМ по установленным нормам расходования.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9.Формирование журнала операций по выбытию и перемещению нефинансовых активов.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расчетов с подотчетными лицами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первичных документов по расчетам с подотчетными лицами: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заявление; 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оправдательные документы к проекту авансового отчета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авансовых отчетов.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3.Своевременное, полное и достоверное отражение на счетах бухгалтерского учета и в учетных регистрах расчетов с подотчетными лицами.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Формирование журнала операций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расчетов с подотчетными лицами.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правильности оформления первичных документов по расчетам с подотчетными лицами.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расчетам с подотчетными лицами: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авансовый отчет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Своевременное, полное и достоверное отражение на счетах бухгалтерского учета и в учетных регистрах расчетов с подотчетными лицами.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Формирование журнала операций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расчетов с подотчетными лицами.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операций с безналичными денежными средствами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Передача платежных документов на исполнение в централизованную бухгалтерию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платежных документов: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платежное поручение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Подписание платежных документов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3.Своевременное, полное и достоверное отражение на счетах бюджетного учета и в учетных регистрах фактов финансово-хозяйственной жизни, связанных с осуществлением платежей через казначейство, на основании полученных выписок и приложений к ним.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Информирование Заказчика о необходимости перечисления налоговых и других обязательных платежей не позже чем за 3 рабочих дня до окончания срока перечисления таких платежей. Информация должна включать в себя сумму, реквизиты получателя и формулировку назначения платежа.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журнала операций с безналичными денежными средствами.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операций с наличными денежными средствами</w:t>
            </w:r>
          </w:p>
        </w:tc>
      </w:tr>
      <w:tr w:rsidR="00F027CC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Подписание платежных документов</w:t>
            </w:r>
          </w:p>
          <w:p w:rsidR="00F027CC" w:rsidRDefault="00F83B6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платежных документов в централизованную бухгалтерию для отражения в соответствующих учетных регистрах.</w:t>
            </w:r>
          </w:p>
          <w:p w:rsidR="00F027CC" w:rsidRDefault="00F83B6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кассовой книги </w:t>
            </w:r>
          </w:p>
          <w:p w:rsidR="00F027CC" w:rsidRDefault="00F83B6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журнала операций по счету «Касса»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платежных документов: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приходный кассовый ордер;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расходный кассовый ордер;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заявка на получение наличных денежных средств.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учета и в учетных регистрах фактов финансово-хозяйственной жизни, связанных с осуществлением платежей через кассу.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Формирование журнала операций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счету «Касса»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расчетов с бюджетом и внебюджетными фондами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адрес централизованной бухгалтерии решений налоговых органов и внебюджетных фондов о применении к Заказчику финансовых санкций за нарушение действующего налогового законодательства.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контроль за начислением налогов и взносов во внебюджетные фонды. 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Отражение в учете финансовых санкций за нарушение действующего налогового законодательства.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расчетов по оплате труда</w:t>
            </w:r>
          </w:p>
        </w:tc>
      </w:tr>
      <w:tr w:rsidR="00F027CC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информации в централизованную бухгалтерию о приеме, увольнении сотрудников, премировании, временной нетрудоспособности, предоставлении отпуска, материальной помощи, компенсационных выплат и т.д.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расчетов и начислению по оплате труда: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табель учета использования рабочего времени (ф. 0504421);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 отпусков (ф.0301020).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журнала операций расчетов по оплате труда.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1.Выплата заработной платы, пособий по временной нетрудоспособности и других выплат сотрудникам Заказчика.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2.Перечисление налога на доходы физических лиц, удерживаемого из заработной платы сотрудников Заказчика. 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правильности оформления первичных документов по расчетам по оплате труда.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Оформление расчетных и платежных (или расчетно-платежных) ведомостей и предоставление их руководителю Заказчика.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5.Подготовка и передача Заказчику отчетности на основании согласованного перечня. 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журнала операций расчетов по оплате труда.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расчетов с поставщиками и подрядчиками</w:t>
            </w:r>
          </w:p>
        </w:tc>
      </w:tr>
      <w:tr w:rsidR="00F027CC">
        <w:trPr>
          <w:trHeight w:val="249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первичных документов по учету расчетов с поставщиками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подрядчиками: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договор (контракт);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товарная накладная;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 об оказании услуг;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 о приемке выполненных работ;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справка о стоимости выполненных работ и затрат;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счет;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счет-фактура;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другие товаросопроводительные документы.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погашением кредиторской задолженности.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и утверждение инвентаризационной комиссии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в порядке, установленном учетной политикой, инвентаризации кредиторской задолженности.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документов по результатам инвентаризации кредиторской задолженности:</w:t>
            </w:r>
          </w:p>
          <w:p w:rsidR="00F027CC" w:rsidRDefault="00F83B6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инвентаризационная опись расчетов с покупателями, поставщиками, прочими дебиторами и кредиторами (ф. 0504089);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Проверка правильности оформления первичных документов по расчетам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поставщиками и подрядчиками.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учета и в учетных регистрах финансово-хозяйственных операций, связанных с расчетами с поставщиками и подрядчиками, на основании полученных и надлежащим образом оформленных первичных документов.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и предоставление руководителю Заказчика актов сверки расчетов с контрагентами.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инвентаризации при необходимости и оформление в учете результатов инвентаризации кредиторской задолженности.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в учете зачетов взаимных требований.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Отражение в составе кредиторской задолженности и финансовых результатов сумм, присужденных судами в пользу истцов штрафов, пени, неустоек за нарушение хозяйственных договоров.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Списание кредиторской задолженности с истекшим сроком исковой давности на основании информации Заказчика.</w:t>
            </w:r>
          </w:p>
        </w:tc>
      </w:tr>
      <w:tr w:rsidR="00F027CC">
        <w:trPr>
          <w:trHeight w:val="7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прочих операций</w:t>
            </w:r>
          </w:p>
        </w:tc>
      </w:tr>
      <w:tr w:rsidR="00F027CC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учетных документов, приказов, исполнительных листов, справок и т.д.</w:t>
            </w:r>
          </w:p>
          <w:p w:rsidR="00F027CC" w:rsidRDefault="00F83B61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журнала по прочим операциям.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правильности оформления первичных документов по учету прочих операций.</w:t>
            </w:r>
          </w:p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(бухгалтерского) учета и в учетных регистрах прочих операций.</w:t>
            </w:r>
          </w:p>
          <w:p w:rsidR="00F027CC" w:rsidRDefault="00F83B61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Формирование журнала по прочим операциям.</w:t>
            </w:r>
          </w:p>
        </w:tc>
      </w:tr>
      <w:tr w:rsidR="00F027CC">
        <w:trPr>
          <w:trHeight w:val="18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доходов</w:t>
            </w:r>
          </w:p>
        </w:tc>
      </w:tr>
      <w:tr w:rsidR="00F027CC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учетных документов – оснований для начисления дохода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Начисление администрируемых доходов текущего отчетного периода.</w:t>
            </w:r>
          </w:p>
          <w:p w:rsidR="00F027CC" w:rsidRDefault="00F83B61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Начисление администрируемых доходов, относящихся к будущим отчетным периодам.</w:t>
            </w:r>
          </w:p>
          <w:p w:rsidR="00F027CC" w:rsidRDefault="00F83B61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извещения для администратора кассовых поступлений с информацией об ожидаемом к поступлению доходу бюджета.</w:t>
            </w:r>
          </w:p>
        </w:tc>
      </w:tr>
      <w:tr w:rsidR="00F027CC">
        <w:trPr>
          <w:trHeight w:val="18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Санкционирование расходов</w:t>
            </w:r>
          </w:p>
        </w:tc>
      </w:tr>
      <w:tr w:rsidR="00F027CC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полномочия участника бюджетного процесса.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доведенных до Заказчика бюджетных данных текущего финансового года.</w:t>
            </w:r>
          </w:p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данных ПФХД.</w:t>
            </w:r>
          </w:p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принимаемого бюджетного обязательства.</w:t>
            </w:r>
          </w:p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принятого бюджетного обязательства.</w:t>
            </w:r>
          </w:p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принятого денежного обязательства.</w:t>
            </w:r>
          </w:p>
          <w:p w:rsidR="00F027CC" w:rsidRDefault="00F83B61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учет бюджетного и денежного обязательства (в случае казенного учреждения).</w:t>
            </w:r>
          </w:p>
        </w:tc>
      </w:tr>
    </w:tbl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27CC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2023 №____</w:t>
      </w:r>
    </w:p>
    <w:p w:rsidR="00F027CC" w:rsidRDefault="00F83B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документооборота</w:t>
      </w: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563"/>
        <w:gridCol w:w="3639"/>
        <w:gridCol w:w="1756"/>
        <w:gridCol w:w="1893"/>
        <w:gridCol w:w="1304"/>
        <w:gridCol w:w="1365"/>
        <w:gridCol w:w="1061"/>
        <w:gridCol w:w="1353"/>
        <w:gridCol w:w="1626"/>
      </w:tblGrid>
      <w:tr w:rsidR="00F027CC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Должностные лица, ответственные за составление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Должностные лица, ответственные за ввод данных в систему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составле-ния документа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внесения данных в систему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предостав-ления докумен-тов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исполне-ния докумен-тов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кадров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приеме работника на работу (ф. 0301001)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приеме работников на работу (ф. 0301015)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Типовые унифицированные формы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переводе работника на другую работу (ф. 0301004)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переводе работников на другую работу (ф. 0301018)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Штатное расписание (ф. 0301017)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предоставлении отпуска работнику (ф. 0301005)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Приказ (распоряжение) о предоставлении отпуска работникам (ф. 0301019)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 кадровой службы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позднее, чем за 14 дней 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начала отпуска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дня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отпусков (ф. 0301020)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две недели до наступления календарного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подписания, но не позднее чем за две недели до наступления календарного года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2 дня до наступления календарного года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прекращении (расторжении) трудового договора с работником (увольнении) (ф. 0301006)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прекращении (расторжении) трудового договора с работниками (увольнении) (0301021)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3 дня до увольнения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увольнения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работника в командировку (ф. 0301022)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работников в командировку (ф. 0301023)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поощрении работника (ф. 0301026)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поощрении работников (ф. 0301027)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не позднее 25 числа расчетного месяца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документов, применяемых при реализации пилотного проекта по выплатам пособий органами ФСС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Листок нетрудоспособности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документ, сформированный и размещенный в ЕИИС «Соцстрах» ФСС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Лечащий врач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со дня выхода работника на работу после больничного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с момента предоставления номера листка нетрудоспособности в ЦБ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предоставлении отпуска и выплате пособия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в произвольной форме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предоставления работником заявления о предоставлении отпуска и выплате пособия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предоставлении отпуска и выплате пособий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предоставления работником заявления о предоставлении отпуска и выплате пособия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Опись заявлений и документов, необходимых для назначения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выплаты застрахованным лицам соответствующих видов пособий (Приложение 2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Работник кадровой службы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Работник кадровой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службы учреждения,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позднее 5 календарных дней со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позднее, чем за две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недели до дня начала отпуска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Справка-расчет о размере оплаты отпуска (Приложение №10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календарных дней со 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две недели до дня начала отпуска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возмещении расходов на выплату пособия по временной нетрудоспособности (Приложение №3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о представлении недостающих документов или сведений (Приложение №4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об отказе в назначении и выплате пособия по временной нетрудоспособности (Приложение №5 к приказу ФСС РФ от 24.11.2017 № 578)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возмещении расходов на выплату социального пособия на погребение (Приложение №6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календарных дней со 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ФСС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Заявление о возмещении стоимости гарантированного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перечня услуг по погребению (Приложение №8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Работник кадровой службы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5 календарных дней со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ФСС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об отказе в рассмотрении документов (сведений) (Приложение №9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рабочего времени и расчетов с персоналом по оплате труда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Табель учета использования рабочего времени (ф. 0504421)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 (табельщик)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5 рабочих дня до срока выплаты заработной платы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подписания, но не позднее чем за 5 рабочих дня до срока выплаты заработной платы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Расчетно-платежная ведомость (ф. 0504401)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рабочий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ведомость                                                                 (ф. 0504402)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рабочий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Платежная ведомость (ф. 0504403)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Записка-расчет об исчислении среднего заработка при предоставлении отпуска, увольнении и других случаях (ф. 0504425) 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до предпоследнего рабочего дня месяца (за декабрь до 28-го числа)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и распорядительных документов по учету основных средств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Распоряжение о передаче имущества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приеме-передаче объектов НФА (ф. 0504101)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передаче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(снятие с учета отправителем)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получения распоряжения о передаче имущества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 - отправителя</w:t>
            </w:r>
          </w:p>
        </w:tc>
      </w:tr>
      <w:tr w:rsidR="00F027C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приеме-передаче объектов НФА (ф. 0504101)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приеме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Входящий первичный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(принятие к учету получателем)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после поступления объектов НФА в учреждение, 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поступления подписанного акта в ЦБ</w:t>
            </w:r>
          </w:p>
        </w:tc>
      </w:tr>
      <w:tr w:rsidR="00F027CC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(ф. 0504805)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передаче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 ЦБ (в части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реквизитов отправителя)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5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следующий день после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подписания 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следующий день 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руководителем учреждения-отправителя</w:t>
            </w:r>
          </w:p>
        </w:tc>
      </w:tr>
      <w:tr w:rsidR="00F027C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(ф. 0504805)</w:t>
            </w:r>
          </w:p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приеме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Входящий первичный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(в части реквизитов получателя)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после поступления объектов НФА в учреждение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поступления подписанного извещения в ЦБ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Приходный ордер на приемку материальных ценностей (НФА) (ф. 0504207)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ф.0504207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совпадает со сроком составления документа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Накладная на внутреннее перемещение объектов НФА (ф.0504102)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ф.0504102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 ответственное лицо структурного подразделения-отправителя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структурного подразделения-отправителя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приема - сдачи отремонтированных, реконструированных и модернизированных объектов ОС (ф.0504103)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е по ф. 0504103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рабочих дней со дня приема имущества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о списании (ликвидации) ОС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Лицо,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одновременно с актом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списании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согласовании списания объектов НФА Администрации района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Приказ, распоряжение Администрации района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 с актом о списании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объектов НФА (кроме транспортных средств) (ф. 0504104)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транспортного средства (ф. 0504105)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0504105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мягкого и хозяйственного инвентаря (ф. 0504143)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0504143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исключенных объектов библиотечного фонда (ф. 0504144)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0504144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Приказ, распоряжение о консервации (расконсервации) объекта ОС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Типовой распорядительный документ учреждения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консервации (расконсервации)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учетный документ (самостоятельно разработанная форма)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рабочих дней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материалов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приемки материалов (материальных ценностей) (ф. 0504220)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учетный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(в случае выявления расхождений)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Требование- накладная (ф. 0504204)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передачу  материальных ценностей (МОЛ)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Накладная на отпуск материалов (материальных ценностей) на сторону (ф. 0504205)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учетный документ, распечатанный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комиссии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Ведомость выдачи материальных ценностей на нужды учреждения (ф. 0504210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Лицо, ответственное за выдачу материальных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материальных запасов (ф. 0504230)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легкового автомобиля (ф. 0345001)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0345001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Диспетчер-нарядчик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учреждения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выезда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15 числа месяца, следующего за отчетным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специального автомобиля (ф. 0345002)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грузового автомобиля (ф. 0345004, 0345005)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0345005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автобуса (ф. 0345006)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0345006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автобуса необщего пользования (ф. 0345007)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по ф. 0345007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строительной машины (ф. 0340002)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0340002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трактора (ф. 412-АПК)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на бумажном носителе по ф. 412-АПК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по ГСМ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разработанная форма, утвержденная учетной политикой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 учреждения, ответственный за работу автотранспорта</w:t>
            </w:r>
          </w:p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числа месяца, следующего за отчетным, на основании путевых листов за месяц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15 числа месяца, следующего за отчетным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кассовых операций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Приходный кассовый ордер (ф. 0310001)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 приемом наличных денег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(денежных документов)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документа кассиром или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Расходный кассовый ордер (ф. 0310002)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выдачи наличных денег (денежных документов)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день до выдачи наличных денег ( в случае если будет принято решение не совмещать на документе электронные подписи и живую подпись получателя средств)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подписания документа главным бухгалтером ЦБ, но не позднее, чем за 1день до выдачи наличных денег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Кассовая книга (ф. 0310004)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рабочего дня (при наличии кассовых операций)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аналогично сроку составления документа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Объявление на взнос наличными (ф. 0402001)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день до взноса наличных денег на лицевой счет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на получение наличных денег (ф. 0531802)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 в течение текущего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органами ФК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Расчетные (платежные) документы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Платежное поручение (ф. 0401060)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2 рабочих дней со дня получения документов,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являющихся основанием для составления платежного поручения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результатов инвентаризации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ценных бумаг (ф. 0504081)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0504081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комиссии.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заранее формирует инвентаризационную опись с данными бухгалтерского учета и направляет ее в учреждение в формате excel.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остатков на счетах учета денежных средств (ф. 0504082)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задолженности по кредитам, займам (ссудам) (ф. 0504083)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по ф. 0504083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состояния государственного долга Российской Федерации в ценных бумагах (ф. 0504084)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0504084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 (ф. 0504085)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0504085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(сличительная ведомость) бланков строгой отчетности и денежных документов (ф. 0504086)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0504086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0504087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наличных денежных средств (ф. 0504088)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0504088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расчетов с покупателями, поставщиками и прочими дебиторами и кредиторами (ф. 0504089)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0504089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расчетов по поступлениям (ф. 0504091)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0504091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результатах инвентаризации (ф. 0504835)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проведения инвентаризации, установленные учреждением в рамках учетной политики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Ведомость расхождений по результатам инвентаризации (ф. 0504092)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проведения инвентаризации, установленные учреждением в рамках учетной политики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руководителя о принятии излишков, выявленных в ходе инвентаризации, к учету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документов, применяемых при расчетах с подотчетными лицами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Приказ на выдачу подотчетных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Типовой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срока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более 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работника в командировку (ф. 0301022)</w:t>
            </w:r>
          </w:p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работников в командировку (ф. 0301023)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принятия решения о направлении работника (работников) в командировку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5 рабочих дней до начала командировки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3 календарных дня до командировки (при наличии на лицевом счете денежных средств) и не позднее дня финансирования (при отсутствии денежных средств на лицевом счете на момент командировки)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Письменное заявление подотчетного лица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в установленной форме, утвержденной учетной политикой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Информация, необходимая для формирования авансового отчета, оправдательные документы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 рабочего дня после возвращени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из командировки, или дня истечения срока, на который выданы наличные деньги под отчет, или со дня выхода на работу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Авансовый отчет (ф. 0504505)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 после получения информации и оправдательных документов от подотчетного лица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учреждение на следующий день после подписания 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рабочих дней после возвращения из командировки, или дня истечения срока, на который выданы наличные деньги под отчет, или со дня выхода на работу</w:t>
            </w:r>
          </w:p>
        </w:tc>
      </w:tr>
      <w:tr w:rsidR="00F027CC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документов, применяемых при расчетах с поставщиками и подрядчиками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Контракт (договор) на приобретение материальных ценностей, работ, услуг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Контрактный управляющий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(равен сроку внесения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данных в систему)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о проведении электронного аукциона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Формируется при помощи функционала ЕИС в сфере закупок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Контрактный управляющий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размещения в ЕИС в сфере закупок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(равен сроку внесения данных в систему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Товарная накладная (ф. 0330212)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первичный документ на типовом бланке по ф. 0330212 (ТОРГ-12)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рабочих дней</w:t>
            </w:r>
          </w:p>
        </w:tc>
      </w:tr>
      <w:tr w:rsidR="00F027CC">
        <w:trPr>
          <w:trHeight w:val="23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Счет-фактура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первичный документ на бумажном носителе и (или) в электронной форме (в случае взаимного согласия сторон сделки и при наличии совместимых технических средств и возможностей для приема и их обработки)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выписки счета (поступления в учреждение)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рабочих дней со дня поступления в ЦБ, но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30 дней с даты подписания руководителем учреждения документа о приемке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 на оплату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02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Акт выполненных работ (оказанных услуг) (в части приобретения работ, услуг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учреждением)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следующий день после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день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приемки выполненных работ (ф. 0322005)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F027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 о стоимости выполненных работ (ф. 0322001)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 с актом приемки выполненных работ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</w:tbl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27CC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F027CC" w:rsidRDefault="00F83B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2023 №____</w:t>
      </w:r>
    </w:p>
    <w:p w:rsidR="00F027CC" w:rsidRDefault="00F83B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форм отчетности, формируемый централизованной бухгалтерией</w:t>
      </w:r>
    </w:p>
    <w:p w:rsidR="00F027CC" w:rsidRDefault="00F83B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(бухгалтерская) отчетность: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613"/>
        <w:gridCol w:w="4786"/>
        <w:gridCol w:w="2306"/>
        <w:gridCol w:w="1639"/>
      </w:tblGrid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формы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формы отчетности по ОКУД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0503130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консолидируемым расчетам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0503125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0503110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0503184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0503127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бюджетных обязательствах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0503128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0503121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движении денежных средств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0503123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записка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0503160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0503190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0503230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Дополнительные формы бюджетной отчетности Новосибирской области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об использовании бюджетных инвестиций в объекты капитального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государственной собственности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квартальная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Форма, утвержденная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приказом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Минфина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Калужской области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 июня 2008 г. N 53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Для финансового органа, уполномоченного на формирование бюджетной отчетности об исполнении соответствующего консолидированного бюджета Российской Федерации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0503387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0503324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Статистическая отчетность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ОВЭД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Уведомление об исчисленных налогах для ЕНП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расходах и численности работников органов местного самоуправления (14-МО)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0503075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Приложение1, 2, 3, 4, к Отчету о расходах и численности работников органов местного самоуправления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581-НСО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П-2 (инвест) Сведения об инвестиционной деятельности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01617010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П-2 Сведения об инвестициях в нефинансовые активы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Форма 11 (краткая) Сведения о наличии и движении основных фондов (средств) некоммерческих организаций (по ОКПО 04202031)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Форма 11 (краткая) Сведения о наличии и движении основных фондов (средств) некоммерческих организаций (по ОКПО-04202031500002)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Налоговая отчетность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– НД по НДС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– НД по прибыли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НД по налогу на имущество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27C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7CC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CC" w:rsidRDefault="00F83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27CC" w:rsidRDefault="00F83B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7CC" w:rsidRDefault="00F027CC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027CC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55" w:rsidRDefault="007C1D55">
      <w:pPr>
        <w:spacing w:after="0" w:line="240" w:lineRule="auto"/>
      </w:pPr>
      <w:r>
        <w:separator/>
      </w:r>
    </w:p>
  </w:endnote>
  <w:endnote w:type="continuationSeparator" w:id="0">
    <w:p w:rsidR="007C1D55" w:rsidRDefault="007C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55" w:rsidRDefault="007C1D55">
      <w:pPr>
        <w:rPr>
          <w:sz w:val="12"/>
        </w:rPr>
      </w:pPr>
      <w:r>
        <w:separator/>
      </w:r>
    </w:p>
  </w:footnote>
  <w:footnote w:type="continuationSeparator" w:id="0">
    <w:p w:rsidR="007C1D55" w:rsidRDefault="007C1D55">
      <w:pPr>
        <w:rPr>
          <w:sz w:val="12"/>
        </w:rPr>
      </w:pPr>
      <w:r>
        <w:continuationSeparator/>
      </w:r>
    </w:p>
  </w:footnote>
  <w:footnote w:id="1">
    <w:p w:rsidR="00F027CC" w:rsidRDefault="00F83B61">
      <w:pPr>
        <w:pStyle w:val="ab"/>
        <w:widowControl w:val="0"/>
        <w:spacing w:beforeAutospacing="0" w:after="280" w:afterAutospacing="0"/>
      </w:pPr>
      <w:r>
        <w:rPr>
          <w:rStyle w:val="FootnoteCharacters"/>
        </w:rPr>
        <w:footnoteRef/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 приобретении и (или) строительстве объектов НФА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C65"/>
    <w:multiLevelType w:val="multilevel"/>
    <w:tmpl w:val="0B56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24C81"/>
    <w:multiLevelType w:val="multilevel"/>
    <w:tmpl w:val="64D6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5F44"/>
    <w:multiLevelType w:val="multilevel"/>
    <w:tmpl w:val="E996B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F48A4"/>
    <w:multiLevelType w:val="multilevel"/>
    <w:tmpl w:val="F2D6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031D1"/>
    <w:multiLevelType w:val="multilevel"/>
    <w:tmpl w:val="C660C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8420E"/>
    <w:multiLevelType w:val="multilevel"/>
    <w:tmpl w:val="BCF47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C3915"/>
    <w:multiLevelType w:val="multilevel"/>
    <w:tmpl w:val="40DCC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141DB"/>
    <w:multiLevelType w:val="multilevel"/>
    <w:tmpl w:val="4D94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A4A16"/>
    <w:multiLevelType w:val="multilevel"/>
    <w:tmpl w:val="058048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CA71626"/>
    <w:multiLevelType w:val="multilevel"/>
    <w:tmpl w:val="D3366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67F93"/>
    <w:multiLevelType w:val="multilevel"/>
    <w:tmpl w:val="1458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B49CE"/>
    <w:multiLevelType w:val="multilevel"/>
    <w:tmpl w:val="6CE6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50091"/>
    <w:multiLevelType w:val="multilevel"/>
    <w:tmpl w:val="D55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34A1B"/>
    <w:multiLevelType w:val="multilevel"/>
    <w:tmpl w:val="68564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5747B"/>
    <w:multiLevelType w:val="multilevel"/>
    <w:tmpl w:val="A93E4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9991557"/>
    <w:multiLevelType w:val="multilevel"/>
    <w:tmpl w:val="C64C0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4055A"/>
    <w:multiLevelType w:val="multilevel"/>
    <w:tmpl w:val="FD0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8071F"/>
    <w:multiLevelType w:val="multilevel"/>
    <w:tmpl w:val="DD8E1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E0FB8"/>
    <w:multiLevelType w:val="multilevel"/>
    <w:tmpl w:val="4D867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D02BB"/>
    <w:multiLevelType w:val="multilevel"/>
    <w:tmpl w:val="F87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72D6F"/>
    <w:multiLevelType w:val="multilevel"/>
    <w:tmpl w:val="8FB81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7145A1"/>
    <w:multiLevelType w:val="multilevel"/>
    <w:tmpl w:val="C8D8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61B3"/>
    <w:multiLevelType w:val="multilevel"/>
    <w:tmpl w:val="949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B74E4"/>
    <w:multiLevelType w:val="multilevel"/>
    <w:tmpl w:val="4842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CE0E23"/>
    <w:multiLevelType w:val="multilevel"/>
    <w:tmpl w:val="0BB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0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8"/>
  </w:num>
  <w:num w:numId="11">
    <w:abstractNumId w:val="6"/>
  </w:num>
  <w:num w:numId="12">
    <w:abstractNumId w:val="2"/>
  </w:num>
  <w:num w:numId="13">
    <w:abstractNumId w:val="17"/>
  </w:num>
  <w:num w:numId="14">
    <w:abstractNumId w:val="13"/>
  </w:num>
  <w:num w:numId="15">
    <w:abstractNumId w:val="1"/>
  </w:num>
  <w:num w:numId="16">
    <w:abstractNumId w:val="16"/>
  </w:num>
  <w:num w:numId="17">
    <w:abstractNumId w:val="22"/>
  </w:num>
  <w:num w:numId="18">
    <w:abstractNumId w:val="23"/>
  </w:num>
  <w:num w:numId="19">
    <w:abstractNumId w:val="7"/>
  </w:num>
  <w:num w:numId="20">
    <w:abstractNumId w:val="21"/>
  </w:num>
  <w:num w:numId="21">
    <w:abstractNumId w:val="19"/>
  </w:num>
  <w:num w:numId="22">
    <w:abstractNumId w:val="3"/>
  </w:num>
  <w:num w:numId="23">
    <w:abstractNumId w:val="12"/>
  </w:num>
  <w:num w:numId="24">
    <w:abstractNumId w:val="24"/>
  </w:num>
  <w:num w:numId="25">
    <w:abstractNumId w:val="14"/>
  </w:num>
  <w:num w:numId="26">
    <w:abstractNumId w:val="20"/>
  </w:num>
  <w:num w:numId="27">
    <w:abstractNumId w:val="5"/>
  </w:num>
  <w:num w:numId="28">
    <w:abstractNumId w:val="5"/>
  </w:num>
  <w:num w:numId="29">
    <w:abstractNumId w:val="5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C"/>
    <w:rsid w:val="00382F83"/>
    <w:rsid w:val="007C1D55"/>
    <w:rsid w:val="00B643A5"/>
    <w:rsid w:val="00C2351D"/>
    <w:rsid w:val="00F027CC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7DC5-8DCC-488D-8D77-6EDEB35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qFormat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qFormat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qFormat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qFormat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uiPriority w:val="99"/>
    <w:qFormat/>
    <w:rsid w:val="006E4098"/>
  </w:style>
  <w:style w:type="character" w:customStyle="1" w:styleId="1579">
    <w:name w:val="1579"/>
    <w:uiPriority w:val="99"/>
    <w:qFormat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E4098"/>
    <w:rPr>
      <w:rFonts w:ascii="Calibri" w:eastAsiaTheme="minorEastAsia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E4098"/>
    <w:rPr>
      <w:rFonts w:ascii="Calibri" w:eastAsiaTheme="minorEastAsia" w:hAnsi="Calibri" w:cs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qFormat/>
    <w:rsid w:val="006E4098"/>
  </w:style>
  <w:style w:type="character" w:customStyle="1" w:styleId="1565">
    <w:name w:val="1565"/>
    <w:basedOn w:val="a0"/>
    <w:qFormat/>
    <w:rsid w:val="006F395B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D328F5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1"/>
    <w:uiPriority w:val="99"/>
    <w:qFormat/>
    <w:rsid w:val="006E4098"/>
    <w:pPr>
      <w:keepNext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uiPriority w:val="99"/>
    <w:rsid w:val="006E4098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1"/>
    <w:uiPriority w:val="99"/>
    <w:rsid w:val="006E4098"/>
    <w:rPr>
      <w:rFonts w:cs="Mangal"/>
    </w:rPr>
  </w:style>
  <w:style w:type="paragraph" w:styleId="a8">
    <w:name w:val="caption"/>
    <w:basedOn w:val="a"/>
    <w:next w:val="a"/>
    <w:uiPriority w:val="99"/>
    <w:qFormat/>
    <w:rsid w:val="006E4098"/>
    <w:pPr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qFormat/>
    <w:rsid w:val="006E4098"/>
    <w:pPr>
      <w:suppressLineNumbers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uiPriority w:val="99"/>
    <w:qFormat/>
    <w:rsid w:val="006E4098"/>
    <w:pPr>
      <w:widowControl w:val="0"/>
    </w:pPr>
    <w:rPr>
      <w:rFonts w:ascii="Arial" w:eastAsiaTheme="minorEastAsia" w:hAnsi="Arial" w:cs="Arial"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E4098"/>
    <w:pPr>
      <w:widowControl w:val="0"/>
    </w:pPr>
    <w:rPr>
      <w:rFonts w:ascii="Arial" w:eastAsiaTheme="minorEastAsia" w:hAnsi="Arial" w:cs="Arial"/>
      <w:b/>
      <w:bCs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E4098"/>
    <w:pPr>
      <w:widowControl w:val="0"/>
    </w:pPr>
    <w:rPr>
      <w:rFonts w:ascii="Tahoma" w:eastAsiaTheme="minorEastAsia" w:hAnsi="Tahoma" w:cs="Tahoma"/>
      <w:kern w:val="2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6E4098"/>
    <w:pPr>
      <w:widowControl w:val="0"/>
    </w:pPr>
    <w:rPr>
      <w:rFonts w:ascii="Tahoma" w:eastAsiaTheme="minorEastAsia" w:hAnsi="Tahoma" w:cs="Tahoma"/>
      <w:kern w:val="2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qFormat/>
    <w:rsid w:val="006E4098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9">
    <w:name w:val="header"/>
    <w:basedOn w:val="a"/>
    <w:uiPriority w:val="99"/>
    <w:rsid w:val="006E4098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a">
    <w:name w:val="footer"/>
    <w:basedOn w:val="a"/>
    <w:uiPriority w:val="99"/>
    <w:rsid w:val="006E4098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basedOn w:val="a"/>
    <w:qFormat/>
    <w:rsid w:val="006E409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6E409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qFormat/>
    <w:rsid w:val="006E409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E4098"/>
    <w:rPr>
      <w:rFonts w:ascii="Calibri" w:eastAsiaTheme="minorEastAsia" w:hAnsi="Calibri" w:cs="Times New Roman"/>
      <w:kern w:val="2"/>
      <w:lang w:eastAsia="ru-RU"/>
    </w:rPr>
  </w:style>
  <w:style w:type="paragraph" w:styleId="ae">
    <w:name w:val="List Paragraph"/>
    <w:basedOn w:val="a"/>
    <w:uiPriority w:val="34"/>
    <w:qFormat/>
    <w:rsid w:val="003E72CC"/>
    <w:pPr>
      <w:ind w:left="720"/>
      <w:contextualSpacing/>
    </w:pPr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BAC3-606C-4650-B473-B299704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8647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</cp:revision>
  <cp:lastPrinted>2023-05-12T04:32:00Z</cp:lastPrinted>
  <dcterms:created xsi:type="dcterms:W3CDTF">2023-11-29T03:38:00Z</dcterms:created>
  <dcterms:modified xsi:type="dcterms:W3CDTF">2023-11-29T03:53:00Z</dcterms:modified>
  <dc:language>ru-RU</dc:language>
</cp:coreProperties>
</file>