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9151BD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E62E22" w:rsidRDefault="00E62E22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1E0B9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13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790A77">
        <w:rPr>
          <w:b/>
          <w:bCs/>
        </w:rPr>
        <w:t>8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020A2E" w:rsidRPr="00715260" w:rsidRDefault="00020A2E" w:rsidP="008C2A5F">
      <w:pPr>
        <w:jc w:val="center"/>
        <w:outlineLvl w:val="0"/>
        <w:rPr>
          <w:b/>
          <w:sz w:val="12"/>
          <w:szCs w:val="12"/>
        </w:rPr>
      </w:pPr>
    </w:p>
    <w:p w:rsidR="00F478D9" w:rsidRPr="001E0B94" w:rsidRDefault="001E0B94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Перевод средств пенсионных накоплений замедлился</w:t>
      </w:r>
    </w:p>
    <w:p w:rsidR="00907360" w:rsidRPr="00907360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3F0E91" w:rsidRPr="00BC7BDD" w:rsidRDefault="001E0B94" w:rsidP="003F0E91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За 1 полугодие текущего года заявлений о переводе средств пенсионных накоплений гражданами подано более чем в 6 </w:t>
      </w:r>
      <w:r w:rsidR="008F08A5">
        <w:rPr>
          <w:b/>
          <w:i/>
          <w:szCs w:val="26"/>
        </w:rPr>
        <w:t xml:space="preserve">с половиной </w:t>
      </w:r>
      <w:r>
        <w:rPr>
          <w:b/>
          <w:i/>
          <w:szCs w:val="26"/>
        </w:rPr>
        <w:t>раз</w:t>
      </w:r>
      <w:r w:rsidR="008F08A5">
        <w:rPr>
          <w:b/>
          <w:i/>
          <w:szCs w:val="26"/>
        </w:rPr>
        <w:t xml:space="preserve"> меньше</w:t>
      </w:r>
      <w:r>
        <w:rPr>
          <w:b/>
          <w:i/>
          <w:szCs w:val="26"/>
        </w:rPr>
        <w:t xml:space="preserve">, чем за аналогичный период прошлого года. </w:t>
      </w:r>
    </w:p>
    <w:p w:rsidR="003F0E91" w:rsidRPr="00BE62C6" w:rsidRDefault="003F0E91" w:rsidP="003F0E91">
      <w:pPr>
        <w:pStyle w:val="af"/>
        <w:ind w:left="0" w:firstLine="426"/>
        <w:rPr>
          <w:sz w:val="16"/>
          <w:szCs w:val="16"/>
        </w:rPr>
      </w:pPr>
    </w:p>
    <w:p w:rsidR="00BC7BDD" w:rsidRDefault="001E0B94" w:rsidP="00BC7BD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Об этом сообщил председатель Правления ПФР </w:t>
      </w:r>
      <w:proofErr w:type="spellStart"/>
      <w:r>
        <w:rPr>
          <w:sz w:val="26"/>
          <w:szCs w:val="26"/>
          <w:lang w:eastAsia="ru-RU"/>
        </w:rPr>
        <w:t>А.В.Дроздов</w:t>
      </w:r>
      <w:proofErr w:type="spellEnd"/>
      <w:r>
        <w:rPr>
          <w:sz w:val="26"/>
          <w:szCs w:val="26"/>
          <w:lang w:eastAsia="ru-RU"/>
        </w:rPr>
        <w:t xml:space="preserve">. На 1 июля подано 81,6 тысяч заявлений о смене страховщика (им может быть как Пенсионный фонд России, так и негосударственный пенсионный фонд), тогда как в 2018 году за указанный период было принято порядка 530 тысяч заявлений. </w:t>
      </w:r>
    </w:p>
    <w:p w:rsidR="001E0B94" w:rsidRPr="007E053D" w:rsidRDefault="001E0B94" w:rsidP="007E053D">
      <w:pPr>
        <w:ind w:firstLine="567"/>
        <w:jc w:val="both"/>
        <w:rPr>
          <w:sz w:val="26"/>
          <w:szCs w:val="26"/>
        </w:rPr>
      </w:pPr>
      <w:r w:rsidRPr="007E053D">
        <w:rPr>
          <w:sz w:val="26"/>
          <w:szCs w:val="26"/>
          <w:lang w:eastAsia="ru-RU"/>
        </w:rPr>
        <w:t xml:space="preserve">Напомним, что </w:t>
      </w:r>
      <w:r w:rsidRPr="007E053D">
        <w:rPr>
          <w:sz w:val="26"/>
          <w:szCs w:val="26"/>
        </w:rPr>
        <w:t xml:space="preserve">граждане вправе передавать средства пенсионных накоплений от одного страховщика другому для инвестирования на финансовом рынке с целью получения </w:t>
      </w:r>
      <w:proofErr w:type="spellStart"/>
      <w:r w:rsidRPr="007E053D">
        <w:rPr>
          <w:sz w:val="26"/>
          <w:szCs w:val="26"/>
        </w:rPr>
        <w:t>инвестдохода</w:t>
      </w:r>
      <w:proofErr w:type="spellEnd"/>
      <w:r w:rsidRPr="007E053D">
        <w:rPr>
          <w:sz w:val="26"/>
          <w:szCs w:val="26"/>
        </w:rPr>
        <w:t>.</w:t>
      </w:r>
      <w:r w:rsidR="007E053D">
        <w:rPr>
          <w:sz w:val="26"/>
          <w:szCs w:val="26"/>
        </w:rPr>
        <w:t xml:space="preserve"> </w:t>
      </w:r>
      <w:r w:rsidRPr="007E053D">
        <w:rPr>
          <w:sz w:val="26"/>
          <w:szCs w:val="26"/>
        </w:rPr>
        <w:t xml:space="preserve">Выбор страховщика – это личное решение каждого гражданина. Однако для эффективного управления своими пенсионными накоплениями, и чтобы не потерять инвестиционный доход  необходимо соблюдать определенные правила перевода средств пенсионных накоплений. </w:t>
      </w:r>
    </w:p>
    <w:p w:rsidR="001E0B94" w:rsidRPr="007E053D" w:rsidRDefault="001E0B94" w:rsidP="007E053D">
      <w:pPr>
        <w:ind w:firstLine="567"/>
        <w:jc w:val="both"/>
        <w:rPr>
          <w:color w:val="000000"/>
          <w:sz w:val="26"/>
          <w:szCs w:val="26"/>
        </w:rPr>
      </w:pPr>
      <w:r w:rsidRPr="007E053D">
        <w:rPr>
          <w:sz w:val="26"/>
          <w:szCs w:val="26"/>
        </w:rPr>
        <w:t>С 2015 года гражданин может поменять одного страховщика на другого (один пенсионный фонд на другой) без потери дохода, полученного от инвестирования средств пенсионных накоплений, только один раз в пять лет.  При досрочном переходе, т. е при переходе на следующий год, в случае отрицательного результата инвестирования средства передаются вообще с уменьшением средств пенсионных накоплений на сумму инвестиционного убытка</w:t>
      </w:r>
      <w:r w:rsidR="006341F7">
        <w:rPr>
          <w:sz w:val="26"/>
          <w:szCs w:val="26"/>
        </w:rPr>
        <w:t xml:space="preserve"> (хоть при переходе из ПФР в НПФ, хоть при переходе из одного НПФ в другой)</w:t>
      </w:r>
      <w:r w:rsidRPr="007E053D">
        <w:rPr>
          <w:color w:val="000000"/>
          <w:sz w:val="26"/>
          <w:szCs w:val="26"/>
        </w:rPr>
        <w:t>.</w:t>
      </w:r>
      <w:r w:rsidR="007E053D">
        <w:rPr>
          <w:color w:val="000000"/>
          <w:sz w:val="26"/>
          <w:szCs w:val="26"/>
        </w:rPr>
        <w:t xml:space="preserve"> </w:t>
      </w:r>
      <w:r w:rsidRPr="007E053D">
        <w:rPr>
          <w:color w:val="000000"/>
          <w:sz w:val="26"/>
          <w:szCs w:val="26"/>
        </w:rPr>
        <w:t>Потерь инвестиционного дохода можно избежать, если менять страховщика пенсионных накоплений не чаще чем раз в 5 лет.</w:t>
      </w:r>
    </w:p>
    <w:p w:rsidR="007E053D" w:rsidRDefault="007E053D" w:rsidP="007E053D">
      <w:pPr>
        <w:pStyle w:val="af6"/>
        <w:ind w:firstLine="567"/>
        <w:jc w:val="both"/>
        <w:rPr>
          <w:sz w:val="26"/>
          <w:szCs w:val="26"/>
        </w:rPr>
      </w:pPr>
      <w:r w:rsidRPr="007E053D">
        <w:rPr>
          <w:sz w:val="26"/>
          <w:szCs w:val="26"/>
        </w:rPr>
        <w:t>С</w:t>
      </w:r>
      <w:r>
        <w:rPr>
          <w:sz w:val="26"/>
          <w:szCs w:val="26"/>
        </w:rPr>
        <w:t xml:space="preserve"> 1 января 2019 года з</w:t>
      </w:r>
      <w:r w:rsidRPr="007E053D">
        <w:rPr>
          <w:sz w:val="26"/>
          <w:szCs w:val="26"/>
        </w:rPr>
        <w:t xml:space="preserve">аявления о переходах (о досрочных переходах) можно подавать только лично или через представителя, действующего на основании нотариально удостоверенной доверенности, либо через Единый портал государственных услуг. В заявлениях необходимо указывать контактную информацию для связи с гражданином. </w:t>
      </w:r>
    </w:p>
    <w:p w:rsidR="001E0B94" w:rsidRDefault="007E053D" w:rsidP="007E053D">
      <w:pPr>
        <w:pStyle w:val="af6"/>
        <w:ind w:firstLine="567"/>
        <w:jc w:val="both"/>
        <w:rPr>
          <w:sz w:val="26"/>
          <w:szCs w:val="26"/>
        </w:rPr>
      </w:pPr>
      <w:r w:rsidRPr="007E053D">
        <w:rPr>
          <w:sz w:val="26"/>
          <w:szCs w:val="26"/>
        </w:rPr>
        <w:t>Заявления о переход</w:t>
      </w:r>
      <w:r>
        <w:rPr>
          <w:sz w:val="26"/>
          <w:szCs w:val="26"/>
        </w:rPr>
        <w:t>е</w:t>
      </w:r>
      <w:r w:rsidRPr="007E053D">
        <w:rPr>
          <w:sz w:val="26"/>
          <w:szCs w:val="26"/>
        </w:rPr>
        <w:t xml:space="preserve"> </w:t>
      </w:r>
      <w:r>
        <w:rPr>
          <w:sz w:val="26"/>
          <w:szCs w:val="26"/>
        </w:rPr>
        <w:t>необходимо подать</w:t>
      </w:r>
      <w:r w:rsidRPr="007E053D">
        <w:rPr>
          <w:sz w:val="26"/>
          <w:szCs w:val="26"/>
        </w:rPr>
        <w:t xml:space="preserve"> не позднее 1 декабря текущего года </w:t>
      </w:r>
      <w:r>
        <w:rPr>
          <w:sz w:val="26"/>
          <w:szCs w:val="26"/>
        </w:rPr>
        <w:t xml:space="preserve">(чтобы была </w:t>
      </w:r>
      <w:r w:rsidRPr="007E053D">
        <w:rPr>
          <w:sz w:val="26"/>
          <w:szCs w:val="26"/>
        </w:rPr>
        <w:t xml:space="preserve">возможность до конца года, предшествующего году, в котором должно быть удовлетворено заявление, </w:t>
      </w:r>
      <w:r>
        <w:rPr>
          <w:sz w:val="26"/>
          <w:szCs w:val="26"/>
        </w:rPr>
        <w:t xml:space="preserve">поменять решение и </w:t>
      </w:r>
      <w:r w:rsidRPr="007E053D">
        <w:rPr>
          <w:sz w:val="26"/>
          <w:szCs w:val="26"/>
        </w:rPr>
        <w:t>подать уведомление об отказе от смены страховщика</w:t>
      </w:r>
      <w:r>
        <w:rPr>
          <w:sz w:val="26"/>
          <w:szCs w:val="26"/>
        </w:rPr>
        <w:t>)</w:t>
      </w:r>
      <w:r w:rsidRPr="007E053D">
        <w:rPr>
          <w:sz w:val="26"/>
          <w:szCs w:val="26"/>
        </w:rPr>
        <w:t>.</w:t>
      </w:r>
      <w:r>
        <w:rPr>
          <w:sz w:val="26"/>
          <w:szCs w:val="26"/>
        </w:rPr>
        <w:t xml:space="preserve"> Особенно это актуально для тех, кто подает заявление о досрочном переводе</w:t>
      </w:r>
      <w:r w:rsidR="006341F7">
        <w:rPr>
          <w:sz w:val="26"/>
          <w:szCs w:val="26"/>
        </w:rPr>
        <w:t xml:space="preserve"> средств пенсионных накоплений, что может повлечь за собой потерю </w:t>
      </w:r>
      <w:proofErr w:type="spellStart"/>
      <w:r w:rsidR="006341F7">
        <w:rPr>
          <w:sz w:val="26"/>
          <w:szCs w:val="26"/>
        </w:rPr>
        <w:t>инвестдохода</w:t>
      </w:r>
      <w:proofErr w:type="spellEnd"/>
      <w:r w:rsidR="006341F7">
        <w:rPr>
          <w:sz w:val="26"/>
          <w:szCs w:val="26"/>
        </w:rPr>
        <w:t xml:space="preserve">. </w:t>
      </w:r>
    </w:p>
    <w:p w:rsidR="006341F7" w:rsidRPr="006341F7" w:rsidRDefault="006341F7" w:rsidP="00FA725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«Мы работаем с гражданами и предупреждаем их о возможных потенциальных потерях при досрочной смене страховщика</w:t>
      </w:r>
      <w:r w:rsidR="00FA7250">
        <w:rPr>
          <w:sz w:val="26"/>
          <w:szCs w:val="26"/>
        </w:rPr>
        <w:t xml:space="preserve">, - отметил Председатель Правления ПФР, - </w:t>
      </w:r>
      <w:r w:rsidRPr="00FA7250">
        <w:rPr>
          <w:sz w:val="26"/>
          <w:szCs w:val="26"/>
          <w:lang w:eastAsia="ru-RU"/>
        </w:rPr>
        <w:t xml:space="preserve">Ежемесячно </w:t>
      </w:r>
      <w:r w:rsidRPr="006341F7">
        <w:rPr>
          <w:sz w:val="26"/>
          <w:szCs w:val="26"/>
          <w:lang w:eastAsia="ru-RU"/>
        </w:rPr>
        <w:t>ПФР</w:t>
      </w:r>
      <w:r w:rsidRPr="00FA7250">
        <w:rPr>
          <w:sz w:val="26"/>
          <w:szCs w:val="26"/>
          <w:lang w:eastAsia="ru-RU"/>
        </w:rPr>
        <w:t xml:space="preserve"> </w:t>
      </w:r>
      <w:r w:rsidRPr="006341F7">
        <w:rPr>
          <w:sz w:val="26"/>
          <w:szCs w:val="26"/>
          <w:lang w:eastAsia="ru-RU"/>
        </w:rPr>
        <w:t>и</w:t>
      </w:r>
      <w:r w:rsidRPr="00FA7250">
        <w:rPr>
          <w:sz w:val="26"/>
          <w:szCs w:val="26"/>
          <w:lang w:eastAsia="ru-RU"/>
        </w:rPr>
        <w:t xml:space="preserve"> </w:t>
      </w:r>
      <w:r w:rsidRPr="006341F7">
        <w:rPr>
          <w:sz w:val="26"/>
          <w:szCs w:val="26"/>
          <w:lang w:eastAsia="ru-RU"/>
        </w:rPr>
        <w:t xml:space="preserve">ЦБ </w:t>
      </w:r>
      <w:proofErr w:type="spellStart"/>
      <w:r w:rsidRPr="006341F7">
        <w:rPr>
          <w:sz w:val="26"/>
          <w:szCs w:val="26"/>
          <w:lang w:eastAsia="ru-RU"/>
        </w:rPr>
        <w:t>мониторят</w:t>
      </w:r>
      <w:proofErr w:type="spellEnd"/>
      <w:r w:rsidRPr="006341F7">
        <w:rPr>
          <w:sz w:val="26"/>
          <w:szCs w:val="26"/>
          <w:lang w:eastAsia="ru-RU"/>
        </w:rPr>
        <w:t xml:space="preserve"> данные по ходу переходной кампании и составляют аналитику по ней</w:t>
      </w:r>
      <w:r w:rsidR="00FA7250" w:rsidRPr="00FA7250">
        <w:rPr>
          <w:sz w:val="26"/>
          <w:szCs w:val="26"/>
          <w:lang w:eastAsia="ru-RU"/>
        </w:rPr>
        <w:t>. Однако мы считаем, что это за</w:t>
      </w:r>
      <w:r w:rsidR="00FA7250">
        <w:rPr>
          <w:sz w:val="26"/>
          <w:szCs w:val="26"/>
          <w:lang w:eastAsia="ru-RU"/>
        </w:rPr>
        <w:t xml:space="preserve">дача не только Пенсионного фонда, но и негосударственных пенсионных фондов, которые в соответствии с законодательством являются равноправными страховщиками. Необходимо и со стороны НПФ информировать граждан о потерях при досрочном переводе средств пенсионных накоплений». </w:t>
      </w:r>
    </w:p>
    <w:p w:rsidR="006341F7" w:rsidRPr="00FA7250" w:rsidRDefault="006341F7" w:rsidP="00FA725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A7250">
        <w:rPr>
          <w:sz w:val="26"/>
          <w:szCs w:val="26"/>
        </w:rPr>
        <w:t xml:space="preserve"> </w:t>
      </w:r>
    </w:p>
    <w:p w:rsidR="00BC7BDD" w:rsidRDefault="00BC7BDD" w:rsidP="003F0E91">
      <w:pPr>
        <w:ind w:firstLine="426"/>
        <w:jc w:val="both"/>
        <w:rPr>
          <w:sz w:val="26"/>
          <w:szCs w:val="26"/>
        </w:rPr>
      </w:pPr>
    </w:p>
    <w:p w:rsidR="00690510" w:rsidRDefault="00D4236B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1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3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8"/>
  </w:num>
  <w:num w:numId="10">
    <w:abstractNumId w:val="21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19"/>
  </w:num>
  <w:num w:numId="16">
    <w:abstractNumId w:val="16"/>
  </w:num>
  <w:num w:numId="17">
    <w:abstractNumId w:val="13"/>
  </w:num>
  <w:num w:numId="18">
    <w:abstractNumId w:val="17"/>
  </w:num>
  <w:num w:numId="19">
    <w:abstractNumId w:val="3"/>
  </w:num>
  <w:num w:numId="20">
    <w:abstractNumId w:val="8"/>
  </w:num>
  <w:num w:numId="21">
    <w:abstractNumId w:val="27"/>
  </w:num>
  <w:num w:numId="22">
    <w:abstractNumId w:val="23"/>
  </w:num>
  <w:num w:numId="23">
    <w:abstractNumId w:val="9"/>
  </w:num>
  <w:num w:numId="24">
    <w:abstractNumId w:val="7"/>
  </w:num>
  <w:num w:numId="25">
    <w:abstractNumId w:val="29"/>
  </w:num>
  <w:num w:numId="26">
    <w:abstractNumId w:val="11"/>
  </w:num>
  <w:num w:numId="27">
    <w:abstractNumId w:val="22"/>
  </w:num>
  <w:num w:numId="28">
    <w:abstractNumId w:val="6"/>
  </w:num>
  <w:num w:numId="29">
    <w:abstractNumId w:val="4"/>
  </w:num>
  <w:num w:numId="30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51BD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7F505B-ED0A-4133-8764-41D19DFE8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2354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218</cp:revision>
  <cp:lastPrinted>2019-07-19T08:39:00Z</cp:lastPrinted>
  <dcterms:created xsi:type="dcterms:W3CDTF">2019-06-10T07:07:00Z</dcterms:created>
  <dcterms:modified xsi:type="dcterms:W3CDTF">2019-08-15T04:54:00Z</dcterms:modified>
</cp:coreProperties>
</file>